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41" w:rsidRDefault="007475CA" w:rsidP="007475CA">
      <w:pPr>
        <w:jc w:val="both"/>
        <w:rPr>
          <w:rFonts w:ascii="Arial" w:hAnsi="Arial" w:cs="Arial"/>
          <w:b/>
          <w:sz w:val="20"/>
        </w:rPr>
      </w:pPr>
      <w:r>
        <w:rPr>
          <w:rFonts w:ascii="Arial" w:hAnsi="Arial" w:cs="Arial"/>
          <w:b/>
          <w:noProof/>
          <w:sz w:val="20"/>
          <w:lang w:eastAsia="fr-FR"/>
        </w:rPr>
        <mc:AlternateContent>
          <mc:Choice Requires="wps">
            <w:drawing>
              <wp:anchor distT="0" distB="0" distL="114300" distR="114300" simplePos="0" relativeHeight="251659264" behindDoc="0" locked="0" layoutInCell="1" allowOverlap="1" wp14:anchorId="53199DF7" wp14:editId="18CDE539">
                <wp:simplePos x="0" y="0"/>
                <wp:positionH relativeFrom="column">
                  <wp:posOffset>-1311275</wp:posOffset>
                </wp:positionH>
                <wp:positionV relativeFrom="paragraph">
                  <wp:posOffset>-36195</wp:posOffset>
                </wp:positionV>
                <wp:extent cx="6845935" cy="882015"/>
                <wp:effectExtent l="38100" t="38100" r="107315" b="108585"/>
                <wp:wrapNone/>
                <wp:docPr id="1" name="Rectangle à coins arrondis 1"/>
                <wp:cNvGraphicFramePr/>
                <a:graphic xmlns:a="http://schemas.openxmlformats.org/drawingml/2006/main">
                  <a:graphicData uri="http://schemas.microsoft.com/office/word/2010/wordprocessingShape">
                    <wps:wsp>
                      <wps:cNvSpPr/>
                      <wps:spPr>
                        <a:xfrm>
                          <a:off x="0" y="0"/>
                          <a:ext cx="6845935" cy="882015"/>
                        </a:xfrm>
                        <a:prstGeom prst="roundRect">
                          <a:avLst/>
                        </a:prstGeom>
                        <a:noFill/>
                        <a:ln w="95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103.25pt;margin-top:-2.85pt;width:539.05pt;height:6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" filled="f" strokecolor="#2f2b20 [3200]">
                <v:shadow on="t" color="black" opacity="26214f" origin="-.5,-.5" offset=".74836mm,.74836mm"/>
              </v:roundrect>
            </w:pict>
          </mc:Fallback>
        </mc:AlternateContent>
      </w:r>
      <w:r w:rsidR="00433141" w:rsidRPr="00433141">
        <w:rPr>
          <w:rFonts w:ascii="Arial" w:hAnsi="Arial" w:cs="Arial"/>
          <w:b/>
          <w:noProof/>
          <w:sz w:val="20"/>
          <w:lang w:eastAsia="fr-FR"/>
        </w:rPr>
        <w:drawing>
          <wp:anchor distT="0" distB="0" distL="114300" distR="114300" simplePos="0" relativeHeight="251658240" behindDoc="0" locked="0" layoutInCell="1" allowOverlap="1" wp14:anchorId="0C02FC26" wp14:editId="698FF792">
            <wp:simplePos x="0" y="0"/>
            <wp:positionH relativeFrom="column">
              <wp:posOffset>90805</wp:posOffset>
            </wp:positionH>
            <wp:positionV relativeFrom="paragraph">
              <wp:posOffset>3810</wp:posOffset>
            </wp:positionV>
            <wp:extent cx="985520" cy="779145"/>
            <wp:effectExtent l="0" t="0" r="5080" b="1905"/>
            <wp:wrapSquare wrapText="bothSides"/>
            <wp:docPr id="22"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rotWithShape="1">
                    <a:blip r:embed="rId6" cstate="print">
                      <a:extLst>
                        <a:ext uri="{28A0092B-C50C-407E-A947-70E740481C1C}">
                          <a14:useLocalDpi xmlns:a14="http://schemas.microsoft.com/office/drawing/2010/main" val="0"/>
                        </a:ext>
                      </a:extLst>
                    </a:blip>
                    <a:srcRect b="12494"/>
                    <a:stretch/>
                  </pic:blipFill>
                  <pic:spPr>
                    <a:xfrm>
                      <a:off x="0" y="0"/>
                      <a:ext cx="985520" cy="779145"/>
                    </a:xfrm>
                    <a:prstGeom prst="rect">
                      <a:avLst/>
                    </a:prstGeom>
                  </pic:spPr>
                </pic:pic>
              </a:graphicData>
            </a:graphic>
            <wp14:sizeRelH relativeFrom="page">
              <wp14:pctWidth>0</wp14:pctWidth>
            </wp14:sizeRelH>
            <wp14:sizeRelV relativeFrom="page">
              <wp14:pctHeight>0</wp14:pctHeight>
            </wp14:sizeRelV>
          </wp:anchor>
        </w:drawing>
      </w:r>
    </w:p>
    <w:p w:rsidR="006338C2" w:rsidRPr="00433141" w:rsidRDefault="00433141" w:rsidP="007475CA">
      <w:pPr>
        <w:jc w:val="center"/>
        <w:rPr>
          <w:rFonts w:ascii="Arial" w:hAnsi="Arial" w:cs="Arial"/>
          <w:b/>
          <w:sz w:val="16"/>
        </w:rPr>
      </w:pPr>
      <w:r w:rsidRPr="00433141">
        <w:rPr>
          <w:rFonts w:ascii="Arial" w:hAnsi="Arial" w:cs="Arial"/>
          <w:b/>
          <w:sz w:val="20"/>
        </w:rPr>
        <w:t>PUBLICATION ANNUELLE SUR LA QUALITE D’EXECUTION OBTENUE AU TITRE DU SERVICE DE RECEPTION ET TRANMISSION D’ORDRES</w:t>
      </w:r>
    </w:p>
    <w:p w:rsidR="00433141" w:rsidRDefault="00433141" w:rsidP="007475CA">
      <w:pPr>
        <w:jc w:val="both"/>
        <w:rPr>
          <w:rFonts w:ascii="Arial" w:hAnsi="Arial" w:cs="Arial"/>
          <w:sz w:val="18"/>
        </w:rPr>
      </w:pPr>
    </w:p>
    <w:p w:rsidR="007475CA" w:rsidRDefault="007475CA" w:rsidP="007475CA">
      <w:pPr>
        <w:jc w:val="both"/>
        <w:rPr>
          <w:rFonts w:ascii="Arial" w:hAnsi="Arial" w:cs="Arial"/>
          <w:sz w:val="18"/>
        </w:rPr>
      </w:pPr>
      <w:r>
        <w:rPr>
          <w:rFonts w:ascii="Arial" w:hAnsi="Arial" w:cs="Arial"/>
          <w:noProof/>
          <w:sz w:val="18"/>
          <w:lang w:eastAsia="fr-FR"/>
        </w:rPr>
        <mc:AlternateContent>
          <mc:Choice Requires="wps">
            <w:drawing>
              <wp:anchor distT="0" distB="0" distL="114300" distR="114300" simplePos="0" relativeHeight="251660288" behindDoc="0" locked="0" layoutInCell="1" allowOverlap="1" wp14:anchorId="5CB3CDF0" wp14:editId="78F0654C">
                <wp:simplePos x="0" y="0"/>
                <wp:positionH relativeFrom="column">
                  <wp:posOffset>-107315</wp:posOffset>
                </wp:positionH>
                <wp:positionV relativeFrom="paragraph">
                  <wp:posOffset>263525</wp:posOffset>
                </wp:positionV>
                <wp:extent cx="6798310" cy="914400"/>
                <wp:effectExtent l="0" t="0" r="21590" b="19050"/>
                <wp:wrapNone/>
                <wp:docPr id="2" name="Rectangle 2"/>
                <wp:cNvGraphicFramePr/>
                <a:graphic xmlns:a="http://schemas.openxmlformats.org/drawingml/2006/main">
                  <a:graphicData uri="http://schemas.microsoft.com/office/word/2010/wordprocessingShape">
                    <wps:wsp>
                      <wps:cNvSpPr/>
                      <wps:spPr>
                        <a:xfrm>
                          <a:off x="0" y="0"/>
                          <a:ext cx="6798310" cy="914400"/>
                        </a:xfrm>
                        <a:prstGeom prst="rect">
                          <a:avLst/>
                        </a:prstGeom>
                        <a:noFill/>
                        <a:ln w="9525">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45pt;margin-top:20.75pt;width:535.3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" filled="f" strokecolor="#2f2b20 [3200]">
                <v:stroke dashstyle="1 1"/>
              </v:rect>
            </w:pict>
          </mc:Fallback>
        </mc:AlternateContent>
      </w:r>
    </w:p>
    <w:p w:rsidR="006A6AB6" w:rsidRPr="006A6AB6" w:rsidRDefault="00433141" w:rsidP="00277A28">
      <w:pPr>
        <w:jc w:val="both"/>
        <w:rPr>
          <w:rFonts w:ascii="Arial" w:hAnsi="Arial" w:cs="Arial"/>
          <w:sz w:val="14"/>
        </w:rPr>
      </w:pPr>
      <w:r w:rsidRPr="00433141">
        <w:rPr>
          <w:rFonts w:ascii="Arial" w:hAnsi="Arial" w:cs="Arial"/>
          <w:sz w:val="18"/>
        </w:rPr>
        <w:t xml:space="preserve">En application de la directive 2014/65/UE relative aux marchés d’instruments financiers dite « Directive MIF 2 », la Caisse régionale du Crédit Agricole </w:t>
      </w:r>
      <w:r>
        <w:rPr>
          <w:rFonts w:ascii="Arial" w:hAnsi="Arial" w:cs="Arial"/>
          <w:sz w:val="18"/>
        </w:rPr>
        <w:t>de Champagne Bourgogne</w:t>
      </w:r>
      <w:r w:rsidRPr="00433141">
        <w:rPr>
          <w:rFonts w:ascii="Arial" w:hAnsi="Arial" w:cs="Arial"/>
          <w:sz w:val="18"/>
        </w:rPr>
        <w:t xml:space="preserve"> établit et publie annuellement, pour chaque catégorie d'instruments financiers, le classement des principaux intermédiaires auxquels sont transmis les ordres émanant de ses clients pour exécution au cours de l’année précédente ainsi que les informations concernant la qualité d’exécution obtenue. Ces informations sont communiquées dans le cadre du service de réception transmission d’ordres fourni aux clients « non professionnels » et « professionnels » de la Caisse régionale du Crédit Agricole </w:t>
      </w:r>
      <w:r>
        <w:rPr>
          <w:rFonts w:ascii="Arial" w:hAnsi="Arial" w:cs="Arial"/>
          <w:sz w:val="18"/>
        </w:rPr>
        <w:t>de Champagne Bourgogne.</w:t>
      </w:r>
    </w:p>
    <w:p w:rsidR="006A6AB6" w:rsidRDefault="00CC1B37" w:rsidP="00277A28">
      <w:pPr>
        <w:jc w:val="both"/>
        <w:rPr>
          <w:rFonts w:ascii="Arial" w:hAnsi="Arial" w:cs="Arial"/>
          <w:sz w:val="18"/>
        </w:rPr>
      </w:pPr>
      <w:r w:rsidRPr="00CC1B37">
        <w:rPr>
          <w:rFonts w:ascii="Arial" w:hAnsi="Arial" w:cs="Arial"/>
          <w:sz w:val="18"/>
        </w:rPr>
        <w:t>Les tableaux ci-dessous indiquent pour chaque catégorie d’instruments financiers, la proportion e</w:t>
      </w:r>
      <w:r>
        <w:rPr>
          <w:rFonts w:ascii="Arial" w:hAnsi="Arial" w:cs="Arial"/>
          <w:sz w:val="18"/>
        </w:rPr>
        <w:t xml:space="preserve">n termes de volume et </w:t>
      </w:r>
      <w:r w:rsidRPr="00CC1B37">
        <w:rPr>
          <w:rFonts w:ascii="Arial" w:hAnsi="Arial" w:cs="Arial"/>
          <w:sz w:val="18"/>
        </w:rPr>
        <w:t xml:space="preserve">de nombre d’ordres transmis par la Caisse régionale du </w:t>
      </w:r>
      <w:r w:rsidRPr="00433141">
        <w:rPr>
          <w:rFonts w:ascii="Arial" w:hAnsi="Arial" w:cs="Arial"/>
          <w:sz w:val="18"/>
        </w:rPr>
        <w:t xml:space="preserve">Crédit Agricole </w:t>
      </w:r>
      <w:r>
        <w:rPr>
          <w:rFonts w:ascii="Arial" w:hAnsi="Arial" w:cs="Arial"/>
          <w:sz w:val="18"/>
        </w:rPr>
        <w:t>de Champagne Bourgogne</w:t>
      </w:r>
      <w:r w:rsidRPr="00433141">
        <w:rPr>
          <w:rFonts w:ascii="Arial" w:hAnsi="Arial" w:cs="Arial"/>
          <w:sz w:val="18"/>
        </w:rPr>
        <w:t xml:space="preserve"> </w:t>
      </w:r>
      <w:r w:rsidRPr="00CC1B37">
        <w:rPr>
          <w:rFonts w:ascii="Arial" w:hAnsi="Arial" w:cs="Arial"/>
          <w:sz w:val="18"/>
        </w:rPr>
        <w:t>po</w:t>
      </w:r>
      <w:r>
        <w:rPr>
          <w:rFonts w:ascii="Arial" w:hAnsi="Arial" w:cs="Arial"/>
          <w:sz w:val="18"/>
        </w:rPr>
        <w:t>ur exécution aux intermédiaires retenus au cours de l’année 2018</w:t>
      </w:r>
      <w:r w:rsidRPr="00CC1B37">
        <w:rPr>
          <w:rFonts w:ascii="Arial" w:hAnsi="Arial" w:cs="Arial"/>
          <w:sz w:val="18"/>
        </w:rPr>
        <w:t>.</w:t>
      </w:r>
      <w:r w:rsidR="00277A28">
        <w:rPr>
          <w:rFonts w:ascii="Arial" w:hAnsi="Arial" w:cs="Arial"/>
          <w:sz w:val="18"/>
        </w:rPr>
        <w:t xml:space="preserve"> Le </w:t>
      </w:r>
      <w:r w:rsidR="00277A28" w:rsidRPr="00277A28">
        <w:rPr>
          <w:rFonts w:ascii="Arial" w:hAnsi="Arial" w:cs="Arial"/>
          <w:sz w:val="18"/>
        </w:rPr>
        <w:t>courtier retenu est l’intermédiaire CA TITRES.</w:t>
      </w:r>
    </w:p>
    <w:p w:rsidR="005A434C" w:rsidRPr="00CC1B37" w:rsidRDefault="005A434C" w:rsidP="00277A28">
      <w:pPr>
        <w:jc w:val="both"/>
        <w:rPr>
          <w:rFonts w:ascii="Arial" w:hAnsi="Arial" w:cs="Arial"/>
          <w:sz w:val="18"/>
        </w:rPr>
      </w:pPr>
    </w:p>
    <w:p w:rsidR="002627D2" w:rsidRPr="007475CA" w:rsidRDefault="002627D2" w:rsidP="007475CA">
      <w:pPr>
        <w:pStyle w:val="Paragraphedeliste"/>
        <w:numPr>
          <w:ilvl w:val="0"/>
          <w:numId w:val="2"/>
        </w:numPr>
        <w:jc w:val="both"/>
        <w:rPr>
          <w:rFonts w:ascii="Arial" w:hAnsi="Arial" w:cs="Arial"/>
          <w:b/>
          <w:color w:val="2F2B20" w:themeColor="text1"/>
          <w:sz w:val="18"/>
        </w:rPr>
      </w:pPr>
      <w:r w:rsidRPr="007475CA">
        <w:rPr>
          <w:rFonts w:ascii="Arial" w:hAnsi="Arial" w:cs="Arial"/>
          <w:b/>
          <w:color w:val="2F2B20" w:themeColor="text1"/>
          <w:sz w:val="18"/>
        </w:rPr>
        <w:t>Pour les clients non professionnels :</w:t>
      </w:r>
    </w:p>
    <w:tbl>
      <w:tblPr>
        <w:tblStyle w:val="Grilledutableau"/>
        <w:tblW w:w="5000" w:type="pct"/>
        <w:jc w:val="center"/>
        <w:tblLook w:val="04A0" w:firstRow="1" w:lastRow="0" w:firstColumn="1" w:lastColumn="0" w:noHBand="0" w:noVBand="1"/>
      </w:tblPr>
      <w:tblGrid>
        <w:gridCol w:w="2218"/>
        <w:gridCol w:w="2663"/>
        <w:gridCol w:w="2241"/>
        <w:gridCol w:w="1186"/>
        <w:gridCol w:w="1186"/>
        <w:gridCol w:w="1188"/>
      </w:tblGrid>
      <w:tr w:rsidR="007475CA" w:rsidRPr="007475CA" w:rsidTr="00A644AE">
        <w:trPr>
          <w:trHeight w:val="315"/>
          <w:jc w:val="center"/>
        </w:trPr>
        <w:tc>
          <w:tcPr>
            <w:tcW w:w="1038" w:type="pct"/>
            <w:vAlign w:val="center"/>
            <w:hideMark/>
          </w:tcPr>
          <w:p w:rsidR="002627D2" w:rsidRPr="007475CA" w:rsidRDefault="002627D2"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Catégorie d’instruments</w:t>
            </w:r>
          </w:p>
        </w:tc>
        <w:tc>
          <w:tcPr>
            <w:tcW w:w="3962" w:type="pct"/>
            <w:gridSpan w:val="5"/>
            <w:vAlign w:val="center"/>
            <w:hideMark/>
          </w:tcPr>
          <w:p w:rsidR="002627D2" w:rsidRPr="007475CA" w:rsidRDefault="002627D2" w:rsidP="007475CA">
            <w:pPr>
              <w:pStyle w:val="Paragraphedeliste"/>
              <w:numPr>
                <w:ilvl w:val="0"/>
                <w:numId w:val="1"/>
              </w:numPr>
              <w:ind w:left="714" w:hanging="357"/>
              <w:contextualSpacing w:val="0"/>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ACTIONS ET INSTRUMENTS ASSIMILES / ACTIONS ET CERTIFICATS REPRESENTATIFS</w:t>
            </w:r>
          </w:p>
        </w:tc>
      </w:tr>
      <w:tr w:rsidR="007475CA" w:rsidRPr="007475CA" w:rsidTr="00A644AE">
        <w:trPr>
          <w:trHeight w:val="870"/>
          <w:jc w:val="center"/>
        </w:trPr>
        <w:tc>
          <w:tcPr>
            <w:tcW w:w="1038" w:type="pct"/>
            <w:vAlign w:val="center"/>
            <w:hideMark/>
          </w:tcPr>
          <w:p w:rsidR="002627D2" w:rsidRPr="007475CA" w:rsidRDefault="002627D2"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Indiquer si &lt; 1 ordre exécuté en moyenne par jour ouvrable de l’année précédente</w:t>
            </w:r>
          </w:p>
        </w:tc>
        <w:tc>
          <w:tcPr>
            <w:tcW w:w="3962" w:type="pct"/>
            <w:gridSpan w:val="5"/>
            <w:vAlign w:val="center"/>
            <w:hideMark/>
          </w:tcPr>
          <w:p w:rsidR="002627D2" w:rsidRPr="007475CA" w:rsidRDefault="002627D2"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Non</w:t>
            </w:r>
          </w:p>
        </w:tc>
      </w:tr>
      <w:tr w:rsidR="00A644AE" w:rsidRPr="007475CA" w:rsidTr="00A644AE">
        <w:trPr>
          <w:trHeight w:val="915"/>
          <w:jc w:val="center"/>
        </w:trPr>
        <w:tc>
          <w:tcPr>
            <w:tcW w:w="1038" w:type="pct"/>
            <w:vAlign w:val="center"/>
            <w:hideMark/>
          </w:tcPr>
          <w:p w:rsidR="00A644AE" w:rsidRPr="007475CA" w:rsidRDefault="00A644AE"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Cinq premiers courtiers par volumes de négociation (ordre décroissant)</w:t>
            </w:r>
          </w:p>
        </w:tc>
        <w:tc>
          <w:tcPr>
            <w:tcW w:w="1247" w:type="pct"/>
            <w:vAlign w:val="center"/>
            <w:hideMark/>
          </w:tcPr>
          <w:p w:rsidR="00A644AE" w:rsidRPr="007475CA" w:rsidRDefault="00A644AE"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Proportion du volume d’ordres exécutés en pourcentage du volume total dans cette catégorie</w:t>
            </w:r>
          </w:p>
        </w:tc>
        <w:tc>
          <w:tcPr>
            <w:tcW w:w="1049" w:type="pct"/>
            <w:vAlign w:val="center"/>
            <w:hideMark/>
          </w:tcPr>
          <w:p w:rsidR="00A644AE" w:rsidRPr="007475CA" w:rsidRDefault="00A644AE"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Proportion du volume d’ordres exécutés en pourcentage du nombre total dans cette catégorie</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passifs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(1)</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agressifs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(2)</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dirigés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(3)</w:t>
            </w:r>
          </w:p>
        </w:tc>
      </w:tr>
      <w:tr w:rsidR="007475CA" w:rsidRPr="007475CA" w:rsidTr="00A644AE">
        <w:trPr>
          <w:trHeight w:val="420"/>
          <w:jc w:val="center"/>
        </w:trPr>
        <w:tc>
          <w:tcPr>
            <w:tcW w:w="1038" w:type="pct"/>
            <w:vAlign w:val="center"/>
            <w:hideMark/>
          </w:tcPr>
          <w:p w:rsidR="002627D2" w:rsidRPr="007475CA" w:rsidRDefault="002627D2"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CA Titres</w:t>
            </w:r>
            <w:r w:rsidRPr="007475CA">
              <w:rPr>
                <w:rFonts w:ascii="Arial" w:eastAsia="Times New Roman" w:hAnsi="Arial" w:cs="Arial"/>
                <w:b/>
                <w:bCs/>
                <w:color w:val="2F2B20" w:themeColor="text1"/>
                <w:sz w:val="16"/>
                <w:szCs w:val="16"/>
                <w:lang w:eastAsia="fr-FR"/>
              </w:rPr>
              <w:br/>
            </w:r>
            <w:r w:rsidR="001625E7" w:rsidRPr="007475CA">
              <w:rPr>
                <w:rFonts w:ascii="Arial" w:eastAsia="Times New Roman" w:hAnsi="Arial" w:cs="Arial"/>
                <w:bCs/>
                <w:color w:val="2F2B20" w:themeColor="text1"/>
                <w:sz w:val="16"/>
                <w:szCs w:val="16"/>
                <w:lang w:eastAsia="fr-FR"/>
              </w:rPr>
              <w:t>LEI 969500SKXA3PHVM2FQ66</w:t>
            </w:r>
          </w:p>
        </w:tc>
        <w:tc>
          <w:tcPr>
            <w:tcW w:w="1247" w:type="pct"/>
            <w:vAlign w:val="center"/>
            <w:hideMark/>
          </w:tcPr>
          <w:p w:rsidR="002627D2" w:rsidRPr="007475CA" w:rsidRDefault="002627D2"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100 %</w:t>
            </w:r>
          </w:p>
        </w:tc>
        <w:tc>
          <w:tcPr>
            <w:tcW w:w="1049" w:type="pct"/>
            <w:vAlign w:val="center"/>
            <w:hideMark/>
          </w:tcPr>
          <w:p w:rsidR="002627D2" w:rsidRPr="007475CA" w:rsidRDefault="002627D2"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100 %</w:t>
            </w:r>
          </w:p>
        </w:tc>
        <w:tc>
          <w:tcPr>
            <w:tcW w:w="555" w:type="pct"/>
            <w:vAlign w:val="center"/>
            <w:hideMark/>
          </w:tcPr>
          <w:p w:rsidR="002627D2" w:rsidRPr="007475CA" w:rsidRDefault="002627D2"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51,8 %</w:t>
            </w:r>
          </w:p>
        </w:tc>
        <w:tc>
          <w:tcPr>
            <w:tcW w:w="555" w:type="pct"/>
            <w:vAlign w:val="center"/>
            <w:hideMark/>
          </w:tcPr>
          <w:p w:rsidR="002627D2" w:rsidRPr="007475CA" w:rsidRDefault="002627D2"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48,1%</w:t>
            </w:r>
          </w:p>
        </w:tc>
        <w:tc>
          <w:tcPr>
            <w:tcW w:w="555" w:type="pct"/>
            <w:vAlign w:val="center"/>
            <w:hideMark/>
          </w:tcPr>
          <w:p w:rsidR="002627D2" w:rsidRPr="007475CA" w:rsidRDefault="002627D2"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0,1 %</w:t>
            </w:r>
          </w:p>
        </w:tc>
      </w:tr>
    </w:tbl>
    <w:p w:rsidR="002627D2" w:rsidRDefault="002627D2" w:rsidP="005A434C">
      <w:pPr>
        <w:spacing w:after="120"/>
        <w:jc w:val="both"/>
        <w:rPr>
          <w:rFonts w:ascii="Arial" w:hAnsi="Arial" w:cs="Arial"/>
          <w:sz w:val="18"/>
        </w:rPr>
      </w:pPr>
    </w:p>
    <w:p w:rsidR="005A434C" w:rsidRDefault="005A434C" w:rsidP="005A434C">
      <w:pPr>
        <w:spacing w:after="120"/>
        <w:jc w:val="both"/>
        <w:rPr>
          <w:rFonts w:ascii="Arial" w:hAnsi="Arial" w:cs="Arial"/>
          <w:sz w:val="18"/>
        </w:rPr>
      </w:pPr>
    </w:p>
    <w:tbl>
      <w:tblPr>
        <w:tblStyle w:val="Grilledutableau"/>
        <w:tblW w:w="5000" w:type="pct"/>
        <w:tblLook w:val="04A0" w:firstRow="1" w:lastRow="0" w:firstColumn="1" w:lastColumn="0" w:noHBand="0" w:noVBand="1"/>
      </w:tblPr>
      <w:tblGrid>
        <w:gridCol w:w="2218"/>
        <w:gridCol w:w="2661"/>
        <w:gridCol w:w="2241"/>
        <w:gridCol w:w="1186"/>
        <w:gridCol w:w="1186"/>
        <w:gridCol w:w="1190"/>
      </w:tblGrid>
      <w:tr w:rsidR="007475CA" w:rsidRPr="007475CA" w:rsidTr="00A644AE">
        <w:trPr>
          <w:trHeight w:val="315"/>
        </w:trPr>
        <w:tc>
          <w:tcPr>
            <w:tcW w:w="1038" w:type="pct"/>
            <w:vAlign w:val="center"/>
            <w:hideMark/>
          </w:tcPr>
          <w:p w:rsidR="007475CA" w:rsidRPr="007475CA" w:rsidRDefault="007475CA"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Catégorie d’instruments</w:t>
            </w:r>
          </w:p>
        </w:tc>
        <w:tc>
          <w:tcPr>
            <w:tcW w:w="3962" w:type="pct"/>
            <w:gridSpan w:val="5"/>
            <w:vAlign w:val="center"/>
            <w:hideMark/>
          </w:tcPr>
          <w:p w:rsidR="007475CA" w:rsidRPr="007475CA" w:rsidRDefault="007475CA" w:rsidP="007475CA">
            <w:pPr>
              <w:jc w:val="center"/>
              <w:rPr>
                <w:rFonts w:ascii="Arial" w:eastAsia="Times New Roman" w:hAnsi="Arial" w:cs="Arial"/>
                <w:b/>
                <w:bCs/>
                <w:color w:val="2F2B20" w:themeColor="text1"/>
                <w:sz w:val="16"/>
                <w:szCs w:val="16"/>
                <w:lang w:eastAsia="fr-FR"/>
              </w:rPr>
            </w:pPr>
            <w:r>
              <w:rPr>
                <w:rFonts w:ascii="Arial" w:eastAsia="Times New Roman" w:hAnsi="Arial" w:cs="Arial"/>
                <w:b/>
                <w:bCs/>
                <w:color w:val="2F2B20" w:themeColor="text1"/>
                <w:sz w:val="16"/>
                <w:szCs w:val="16"/>
                <w:lang w:eastAsia="fr-FR"/>
              </w:rPr>
              <w:t xml:space="preserve">(2i) </w:t>
            </w:r>
            <w:r w:rsidRPr="007475CA">
              <w:rPr>
                <w:rFonts w:ascii="Arial" w:eastAsia="Times New Roman" w:hAnsi="Arial" w:cs="Arial"/>
                <w:b/>
                <w:bCs/>
                <w:color w:val="2F2B20" w:themeColor="text1"/>
                <w:sz w:val="16"/>
                <w:szCs w:val="16"/>
                <w:lang w:eastAsia="fr-FR"/>
              </w:rPr>
              <w:t>OBLIGATION</w:t>
            </w:r>
            <w:r>
              <w:rPr>
                <w:rFonts w:ascii="Arial" w:eastAsia="Times New Roman" w:hAnsi="Arial" w:cs="Arial"/>
                <w:b/>
                <w:bCs/>
                <w:color w:val="2F2B20" w:themeColor="text1"/>
                <w:sz w:val="16"/>
                <w:szCs w:val="16"/>
                <w:lang w:eastAsia="fr-FR"/>
              </w:rPr>
              <w:t>S</w:t>
            </w:r>
          </w:p>
        </w:tc>
      </w:tr>
      <w:tr w:rsidR="007475CA" w:rsidRPr="007475CA" w:rsidTr="00A644AE">
        <w:trPr>
          <w:trHeight w:val="870"/>
        </w:trPr>
        <w:tc>
          <w:tcPr>
            <w:tcW w:w="1038" w:type="pct"/>
            <w:vAlign w:val="center"/>
            <w:hideMark/>
          </w:tcPr>
          <w:p w:rsidR="007475CA" w:rsidRPr="007475CA" w:rsidRDefault="007475CA"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Indiquer si &lt; 1 ordre exécuté en moyenne par jour ouvrable de l’année précédente</w:t>
            </w:r>
          </w:p>
        </w:tc>
        <w:tc>
          <w:tcPr>
            <w:tcW w:w="3962" w:type="pct"/>
            <w:gridSpan w:val="5"/>
            <w:vAlign w:val="center"/>
            <w:hideMark/>
          </w:tcPr>
          <w:p w:rsidR="007475CA" w:rsidRPr="007475CA" w:rsidRDefault="007475CA"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Non</w:t>
            </w:r>
          </w:p>
        </w:tc>
      </w:tr>
      <w:tr w:rsidR="00A644AE" w:rsidRPr="007475CA" w:rsidTr="00A644AE">
        <w:trPr>
          <w:trHeight w:val="915"/>
        </w:trPr>
        <w:tc>
          <w:tcPr>
            <w:tcW w:w="1038" w:type="pct"/>
            <w:vAlign w:val="center"/>
            <w:hideMark/>
          </w:tcPr>
          <w:p w:rsidR="00A644AE" w:rsidRPr="007475CA" w:rsidRDefault="00A644AE"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Cinq premiers courtiers par volumes de négociation (ordre décroissant)</w:t>
            </w:r>
          </w:p>
        </w:tc>
        <w:tc>
          <w:tcPr>
            <w:tcW w:w="1246" w:type="pct"/>
            <w:vAlign w:val="center"/>
            <w:hideMark/>
          </w:tcPr>
          <w:p w:rsidR="00A644AE" w:rsidRPr="007475CA" w:rsidRDefault="00A644AE"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Proportion du volume d’ordres exécutés en pourcentage du volume total dans cette catégorie</w:t>
            </w:r>
          </w:p>
        </w:tc>
        <w:tc>
          <w:tcPr>
            <w:tcW w:w="1049" w:type="pct"/>
            <w:vAlign w:val="center"/>
            <w:hideMark/>
          </w:tcPr>
          <w:p w:rsidR="00A644AE" w:rsidRPr="007475CA" w:rsidRDefault="00A644AE"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Proportion du volume d’ordres exécutés en pourcentage du nombre total dans cette catégorie</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passifs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(1)</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agressifs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(2)</w:t>
            </w:r>
          </w:p>
        </w:tc>
        <w:tc>
          <w:tcPr>
            <w:tcW w:w="556"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dirigés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(3)</w:t>
            </w:r>
          </w:p>
        </w:tc>
      </w:tr>
      <w:tr w:rsidR="007475CA" w:rsidRPr="007475CA" w:rsidTr="00A644AE">
        <w:trPr>
          <w:trHeight w:val="420"/>
        </w:trPr>
        <w:tc>
          <w:tcPr>
            <w:tcW w:w="1038" w:type="pct"/>
            <w:vAlign w:val="center"/>
            <w:hideMark/>
          </w:tcPr>
          <w:p w:rsidR="007475CA" w:rsidRPr="00004B84" w:rsidRDefault="00CC1B37" w:rsidP="00004B84">
            <w:pPr>
              <w:jc w:val="center"/>
              <w:rPr>
                <w:rFonts w:ascii="Arial" w:eastAsia="Times New Roman" w:hAnsi="Arial" w:cs="Arial"/>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CA Titres</w:t>
            </w:r>
            <w:r w:rsidRPr="007475CA">
              <w:rPr>
                <w:rFonts w:ascii="Arial" w:eastAsia="Times New Roman" w:hAnsi="Arial" w:cs="Arial"/>
                <w:b/>
                <w:bCs/>
                <w:color w:val="2F2B20" w:themeColor="text1"/>
                <w:sz w:val="16"/>
                <w:szCs w:val="16"/>
                <w:lang w:eastAsia="fr-FR"/>
              </w:rPr>
              <w:br/>
            </w:r>
            <w:r w:rsidRPr="007475CA">
              <w:rPr>
                <w:rFonts w:ascii="Arial" w:eastAsia="Times New Roman" w:hAnsi="Arial" w:cs="Arial"/>
                <w:bCs/>
                <w:color w:val="2F2B20" w:themeColor="text1"/>
                <w:sz w:val="16"/>
                <w:szCs w:val="16"/>
                <w:lang w:eastAsia="fr-FR"/>
              </w:rPr>
              <w:t>LEI 969500SKXA3PHVM2FQ66</w:t>
            </w:r>
          </w:p>
        </w:tc>
        <w:tc>
          <w:tcPr>
            <w:tcW w:w="1246" w:type="pct"/>
            <w:vAlign w:val="center"/>
            <w:hideMark/>
          </w:tcPr>
          <w:p w:rsidR="007475CA" w:rsidRPr="007475CA" w:rsidRDefault="007475CA"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100 %</w:t>
            </w:r>
          </w:p>
        </w:tc>
        <w:tc>
          <w:tcPr>
            <w:tcW w:w="1049" w:type="pct"/>
            <w:vAlign w:val="center"/>
            <w:hideMark/>
          </w:tcPr>
          <w:p w:rsidR="007475CA" w:rsidRPr="007475CA" w:rsidRDefault="007475CA"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100 %</w:t>
            </w:r>
          </w:p>
        </w:tc>
        <w:tc>
          <w:tcPr>
            <w:tcW w:w="555" w:type="pct"/>
            <w:vAlign w:val="center"/>
            <w:hideMark/>
          </w:tcPr>
          <w:p w:rsidR="007475CA" w:rsidRPr="007475CA" w:rsidRDefault="007475CA" w:rsidP="007475CA">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4,62</w:t>
            </w:r>
            <w:r w:rsidRPr="007475CA">
              <w:rPr>
                <w:rFonts w:ascii="Arial" w:eastAsia="Times New Roman" w:hAnsi="Arial" w:cs="Arial"/>
                <w:color w:val="2F2B20" w:themeColor="text1"/>
                <w:sz w:val="16"/>
                <w:szCs w:val="16"/>
                <w:lang w:eastAsia="fr-FR"/>
              </w:rPr>
              <w:t xml:space="preserve"> %</w:t>
            </w:r>
          </w:p>
        </w:tc>
        <w:tc>
          <w:tcPr>
            <w:tcW w:w="555" w:type="pct"/>
            <w:vAlign w:val="center"/>
            <w:hideMark/>
          </w:tcPr>
          <w:p w:rsidR="007475CA" w:rsidRPr="007475CA" w:rsidRDefault="007475CA" w:rsidP="007475CA">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95,38</w:t>
            </w:r>
            <w:r w:rsidR="00004B84">
              <w:rPr>
                <w:rFonts w:ascii="Arial" w:eastAsia="Times New Roman" w:hAnsi="Arial" w:cs="Arial"/>
                <w:color w:val="2F2B20" w:themeColor="text1"/>
                <w:sz w:val="16"/>
                <w:szCs w:val="16"/>
                <w:lang w:eastAsia="fr-FR"/>
              </w:rPr>
              <w:t xml:space="preserve"> </w:t>
            </w:r>
            <w:r w:rsidRPr="007475CA">
              <w:rPr>
                <w:rFonts w:ascii="Arial" w:eastAsia="Times New Roman" w:hAnsi="Arial" w:cs="Arial"/>
                <w:color w:val="2F2B20" w:themeColor="text1"/>
                <w:sz w:val="16"/>
                <w:szCs w:val="16"/>
                <w:lang w:eastAsia="fr-FR"/>
              </w:rPr>
              <w:t>%</w:t>
            </w:r>
          </w:p>
        </w:tc>
        <w:tc>
          <w:tcPr>
            <w:tcW w:w="556" w:type="pct"/>
            <w:vAlign w:val="center"/>
            <w:hideMark/>
          </w:tcPr>
          <w:p w:rsidR="007475CA" w:rsidRPr="007475CA" w:rsidRDefault="007475CA" w:rsidP="007475CA">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0</w:t>
            </w:r>
            <w:r w:rsidRPr="007475CA">
              <w:rPr>
                <w:rFonts w:ascii="Arial" w:eastAsia="Times New Roman" w:hAnsi="Arial" w:cs="Arial"/>
                <w:color w:val="2F2B20" w:themeColor="text1"/>
                <w:sz w:val="16"/>
                <w:szCs w:val="16"/>
                <w:lang w:eastAsia="fr-FR"/>
              </w:rPr>
              <w:t xml:space="preserve"> %</w:t>
            </w:r>
          </w:p>
        </w:tc>
      </w:tr>
    </w:tbl>
    <w:p w:rsidR="007475CA" w:rsidRDefault="007475CA" w:rsidP="005A434C">
      <w:pPr>
        <w:spacing w:after="120"/>
        <w:jc w:val="both"/>
        <w:rPr>
          <w:rFonts w:ascii="Arial" w:hAnsi="Arial" w:cs="Arial"/>
          <w:sz w:val="18"/>
        </w:rPr>
      </w:pPr>
    </w:p>
    <w:p w:rsidR="005A434C" w:rsidRDefault="005A434C" w:rsidP="005A434C">
      <w:pPr>
        <w:spacing w:after="120"/>
        <w:jc w:val="both"/>
        <w:rPr>
          <w:rFonts w:ascii="Arial" w:hAnsi="Arial" w:cs="Arial"/>
          <w:sz w:val="18"/>
        </w:rPr>
      </w:pPr>
    </w:p>
    <w:tbl>
      <w:tblPr>
        <w:tblStyle w:val="Grilledutableau"/>
        <w:tblW w:w="5000" w:type="pct"/>
        <w:tblLook w:val="04A0" w:firstRow="1" w:lastRow="0" w:firstColumn="1" w:lastColumn="0" w:noHBand="0" w:noVBand="1"/>
      </w:tblPr>
      <w:tblGrid>
        <w:gridCol w:w="2218"/>
        <w:gridCol w:w="2661"/>
        <w:gridCol w:w="2241"/>
        <w:gridCol w:w="1186"/>
        <w:gridCol w:w="1186"/>
        <w:gridCol w:w="1190"/>
      </w:tblGrid>
      <w:tr w:rsidR="007475CA" w:rsidRPr="007475CA" w:rsidTr="00A644AE">
        <w:trPr>
          <w:trHeight w:val="315"/>
        </w:trPr>
        <w:tc>
          <w:tcPr>
            <w:tcW w:w="1038" w:type="pct"/>
            <w:vAlign w:val="center"/>
            <w:hideMark/>
          </w:tcPr>
          <w:p w:rsidR="001625E7" w:rsidRPr="007475CA" w:rsidRDefault="001625E7"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Catégorie d’instruments</w:t>
            </w:r>
          </w:p>
        </w:tc>
        <w:tc>
          <w:tcPr>
            <w:tcW w:w="3962" w:type="pct"/>
            <w:gridSpan w:val="5"/>
            <w:vAlign w:val="center"/>
            <w:hideMark/>
          </w:tcPr>
          <w:p w:rsidR="001625E7" w:rsidRPr="007475CA" w:rsidRDefault="00004B84" w:rsidP="007475CA">
            <w:pPr>
              <w:jc w:val="center"/>
              <w:rPr>
                <w:rFonts w:ascii="Arial" w:eastAsia="Times New Roman" w:hAnsi="Arial" w:cs="Arial"/>
                <w:b/>
                <w:bCs/>
                <w:color w:val="2F2B20" w:themeColor="text1"/>
                <w:sz w:val="16"/>
                <w:szCs w:val="16"/>
                <w:lang w:eastAsia="fr-FR"/>
              </w:rPr>
            </w:pPr>
            <w:r>
              <w:rPr>
                <w:rFonts w:ascii="Arial" w:eastAsia="Times New Roman" w:hAnsi="Arial" w:cs="Arial"/>
                <w:b/>
                <w:bCs/>
                <w:color w:val="2F2B20" w:themeColor="text1"/>
                <w:sz w:val="16"/>
                <w:szCs w:val="16"/>
                <w:lang w:eastAsia="fr-FR"/>
              </w:rPr>
              <w:t xml:space="preserve">(8) </w:t>
            </w:r>
            <w:r w:rsidR="001625E7" w:rsidRPr="007475CA">
              <w:rPr>
                <w:rFonts w:ascii="Arial" w:eastAsia="Times New Roman" w:hAnsi="Arial" w:cs="Arial"/>
                <w:b/>
                <w:bCs/>
                <w:color w:val="2F2B20" w:themeColor="text1"/>
                <w:sz w:val="16"/>
                <w:szCs w:val="16"/>
                <w:lang w:eastAsia="fr-FR"/>
              </w:rPr>
              <w:t>DERIVES TITRISES / WARRANTS ET DERIVES SUR CERTIFICATS PREFERENTIELS</w:t>
            </w:r>
          </w:p>
        </w:tc>
      </w:tr>
      <w:tr w:rsidR="007475CA" w:rsidRPr="007475CA" w:rsidTr="00A644AE">
        <w:trPr>
          <w:trHeight w:val="870"/>
        </w:trPr>
        <w:tc>
          <w:tcPr>
            <w:tcW w:w="1038" w:type="pct"/>
            <w:vAlign w:val="center"/>
            <w:hideMark/>
          </w:tcPr>
          <w:p w:rsidR="001625E7" w:rsidRPr="007475CA" w:rsidRDefault="001625E7"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Indiquer si &lt; 1 ordre exécuté en moyenne par jour ouvrable de l’année précédente</w:t>
            </w:r>
          </w:p>
        </w:tc>
        <w:tc>
          <w:tcPr>
            <w:tcW w:w="3962" w:type="pct"/>
            <w:gridSpan w:val="5"/>
            <w:vAlign w:val="center"/>
            <w:hideMark/>
          </w:tcPr>
          <w:p w:rsidR="001625E7" w:rsidRPr="007475CA" w:rsidRDefault="001625E7"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Non</w:t>
            </w:r>
          </w:p>
        </w:tc>
      </w:tr>
      <w:tr w:rsidR="00A644AE" w:rsidRPr="007475CA" w:rsidTr="00A644AE">
        <w:trPr>
          <w:trHeight w:val="915"/>
        </w:trPr>
        <w:tc>
          <w:tcPr>
            <w:tcW w:w="1038" w:type="pct"/>
            <w:vAlign w:val="center"/>
            <w:hideMark/>
          </w:tcPr>
          <w:p w:rsidR="00A644AE" w:rsidRPr="007475CA" w:rsidRDefault="00A644AE"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Cinq premiers courtiers par volumes de négociation (ordre décroissant)</w:t>
            </w:r>
          </w:p>
        </w:tc>
        <w:tc>
          <w:tcPr>
            <w:tcW w:w="1246" w:type="pct"/>
            <w:vAlign w:val="center"/>
            <w:hideMark/>
          </w:tcPr>
          <w:p w:rsidR="00A644AE" w:rsidRPr="007475CA" w:rsidRDefault="00A644AE"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Proportion du volume d’ordres exécutés en pourcentage du volume total dans cette catégorie</w:t>
            </w:r>
          </w:p>
        </w:tc>
        <w:tc>
          <w:tcPr>
            <w:tcW w:w="1049" w:type="pct"/>
            <w:vAlign w:val="center"/>
            <w:hideMark/>
          </w:tcPr>
          <w:p w:rsidR="00A644AE" w:rsidRPr="007475CA" w:rsidRDefault="00A644AE" w:rsidP="007475CA">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Proportion du volume d’ordres exécutés en pourcentage du nombre total dans cette catégorie</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passifs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(1)</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agressifs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(2)</w:t>
            </w:r>
          </w:p>
        </w:tc>
        <w:tc>
          <w:tcPr>
            <w:tcW w:w="556"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dirigés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(3)</w:t>
            </w:r>
          </w:p>
        </w:tc>
      </w:tr>
      <w:tr w:rsidR="007475CA" w:rsidRPr="007475CA" w:rsidTr="00A644AE">
        <w:trPr>
          <w:trHeight w:val="420"/>
        </w:trPr>
        <w:tc>
          <w:tcPr>
            <w:tcW w:w="1038" w:type="pct"/>
            <w:vAlign w:val="center"/>
            <w:hideMark/>
          </w:tcPr>
          <w:p w:rsidR="001625E7" w:rsidRPr="007475CA" w:rsidRDefault="00CC1B37" w:rsidP="00004B84">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CA Titres</w:t>
            </w:r>
            <w:r w:rsidRPr="007475CA">
              <w:rPr>
                <w:rFonts w:ascii="Arial" w:eastAsia="Times New Roman" w:hAnsi="Arial" w:cs="Arial"/>
                <w:b/>
                <w:bCs/>
                <w:color w:val="2F2B20" w:themeColor="text1"/>
                <w:sz w:val="16"/>
                <w:szCs w:val="16"/>
                <w:lang w:eastAsia="fr-FR"/>
              </w:rPr>
              <w:br/>
            </w:r>
            <w:r w:rsidRPr="007475CA">
              <w:rPr>
                <w:rFonts w:ascii="Arial" w:eastAsia="Times New Roman" w:hAnsi="Arial" w:cs="Arial"/>
                <w:bCs/>
                <w:color w:val="2F2B20" w:themeColor="text1"/>
                <w:sz w:val="16"/>
                <w:szCs w:val="16"/>
                <w:lang w:eastAsia="fr-FR"/>
              </w:rPr>
              <w:t>LEI 969500SKXA3PHVM2FQ66</w:t>
            </w:r>
          </w:p>
        </w:tc>
        <w:tc>
          <w:tcPr>
            <w:tcW w:w="1246" w:type="pct"/>
            <w:vAlign w:val="center"/>
            <w:hideMark/>
          </w:tcPr>
          <w:p w:rsidR="001625E7" w:rsidRPr="007475CA" w:rsidRDefault="001625E7"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100 %</w:t>
            </w:r>
          </w:p>
        </w:tc>
        <w:tc>
          <w:tcPr>
            <w:tcW w:w="1049" w:type="pct"/>
            <w:vAlign w:val="center"/>
            <w:hideMark/>
          </w:tcPr>
          <w:p w:rsidR="001625E7" w:rsidRPr="007475CA" w:rsidRDefault="001625E7" w:rsidP="007475CA">
            <w:pPr>
              <w:jc w:val="center"/>
              <w:rPr>
                <w:rFonts w:ascii="Arial" w:eastAsia="Times New Roman" w:hAnsi="Arial" w:cs="Arial"/>
                <w:color w:val="2F2B20" w:themeColor="text1"/>
                <w:sz w:val="16"/>
                <w:szCs w:val="16"/>
                <w:lang w:eastAsia="fr-FR"/>
              </w:rPr>
            </w:pPr>
            <w:r w:rsidRPr="007475CA">
              <w:rPr>
                <w:rFonts w:ascii="Arial" w:eastAsia="Times New Roman" w:hAnsi="Arial" w:cs="Arial"/>
                <w:color w:val="2F2B20" w:themeColor="text1"/>
                <w:sz w:val="16"/>
                <w:szCs w:val="16"/>
                <w:lang w:eastAsia="fr-FR"/>
              </w:rPr>
              <w:t>100 %</w:t>
            </w:r>
          </w:p>
        </w:tc>
        <w:tc>
          <w:tcPr>
            <w:tcW w:w="555" w:type="pct"/>
            <w:vAlign w:val="center"/>
            <w:hideMark/>
          </w:tcPr>
          <w:p w:rsidR="001625E7" w:rsidRPr="007475CA" w:rsidRDefault="00004B84" w:rsidP="007475CA">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98,15</w:t>
            </w:r>
            <w:r w:rsidR="001625E7" w:rsidRPr="007475CA">
              <w:rPr>
                <w:rFonts w:ascii="Arial" w:eastAsia="Times New Roman" w:hAnsi="Arial" w:cs="Arial"/>
                <w:color w:val="2F2B20" w:themeColor="text1"/>
                <w:sz w:val="16"/>
                <w:szCs w:val="16"/>
                <w:lang w:eastAsia="fr-FR"/>
              </w:rPr>
              <w:t xml:space="preserve"> %</w:t>
            </w:r>
          </w:p>
        </w:tc>
        <w:tc>
          <w:tcPr>
            <w:tcW w:w="555" w:type="pct"/>
            <w:vAlign w:val="center"/>
            <w:hideMark/>
          </w:tcPr>
          <w:p w:rsidR="001625E7" w:rsidRPr="007475CA" w:rsidRDefault="00004B84" w:rsidP="007475CA">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 xml:space="preserve">1,85 </w:t>
            </w:r>
            <w:r w:rsidR="001625E7" w:rsidRPr="007475CA">
              <w:rPr>
                <w:rFonts w:ascii="Arial" w:eastAsia="Times New Roman" w:hAnsi="Arial" w:cs="Arial"/>
                <w:color w:val="2F2B20" w:themeColor="text1"/>
                <w:sz w:val="16"/>
                <w:szCs w:val="16"/>
                <w:lang w:eastAsia="fr-FR"/>
              </w:rPr>
              <w:t>%</w:t>
            </w:r>
          </w:p>
        </w:tc>
        <w:tc>
          <w:tcPr>
            <w:tcW w:w="556" w:type="pct"/>
            <w:vAlign w:val="center"/>
            <w:hideMark/>
          </w:tcPr>
          <w:p w:rsidR="001625E7" w:rsidRPr="007475CA" w:rsidRDefault="00004B84" w:rsidP="007475CA">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0</w:t>
            </w:r>
            <w:r w:rsidR="001625E7" w:rsidRPr="007475CA">
              <w:rPr>
                <w:rFonts w:ascii="Arial" w:eastAsia="Times New Roman" w:hAnsi="Arial" w:cs="Arial"/>
                <w:color w:val="2F2B20" w:themeColor="text1"/>
                <w:sz w:val="16"/>
                <w:szCs w:val="16"/>
                <w:lang w:eastAsia="fr-FR"/>
              </w:rPr>
              <w:t xml:space="preserve"> %</w:t>
            </w:r>
          </w:p>
        </w:tc>
      </w:tr>
    </w:tbl>
    <w:p w:rsidR="005A434C" w:rsidRDefault="005A434C" w:rsidP="007475CA">
      <w:pPr>
        <w:jc w:val="both"/>
        <w:rPr>
          <w:rFonts w:ascii="Arial" w:hAnsi="Arial" w:cs="Arial"/>
          <w:sz w:val="18"/>
        </w:rPr>
      </w:pPr>
    </w:p>
    <w:tbl>
      <w:tblPr>
        <w:tblStyle w:val="Grilledutableau"/>
        <w:tblW w:w="5000" w:type="pct"/>
        <w:tblLook w:val="04A0" w:firstRow="1" w:lastRow="0" w:firstColumn="1" w:lastColumn="0" w:noHBand="0" w:noVBand="1"/>
      </w:tblPr>
      <w:tblGrid>
        <w:gridCol w:w="2218"/>
        <w:gridCol w:w="2663"/>
        <w:gridCol w:w="2241"/>
        <w:gridCol w:w="1186"/>
        <w:gridCol w:w="1186"/>
        <w:gridCol w:w="1188"/>
      </w:tblGrid>
      <w:tr w:rsidR="00E617E0" w:rsidRPr="00E617E0" w:rsidTr="00A644AE">
        <w:trPr>
          <w:trHeight w:val="315"/>
        </w:trPr>
        <w:tc>
          <w:tcPr>
            <w:tcW w:w="1038" w:type="pct"/>
            <w:vAlign w:val="center"/>
            <w:hideMark/>
          </w:tcPr>
          <w:p w:rsidR="001625E7" w:rsidRPr="00E617E0" w:rsidRDefault="001625E7" w:rsidP="00E617E0">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lastRenderedPageBreak/>
              <w:t>Catégorie d’instruments</w:t>
            </w:r>
          </w:p>
        </w:tc>
        <w:tc>
          <w:tcPr>
            <w:tcW w:w="3962" w:type="pct"/>
            <w:gridSpan w:val="5"/>
            <w:vAlign w:val="center"/>
            <w:hideMark/>
          </w:tcPr>
          <w:p w:rsidR="001625E7" w:rsidRPr="00E617E0" w:rsidRDefault="00E617E0" w:rsidP="00E617E0">
            <w:pPr>
              <w:jc w:val="center"/>
              <w:rPr>
                <w:rFonts w:ascii="Arial" w:eastAsia="Times New Roman" w:hAnsi="Arial" w:cs="Arial"/>
                <w:b/>
                <w:bCs/>
                <w:color w:val="2F2B20" w:themeColor="text1"/>
                <w:sz w:val="16"/>
                <w:szCs w:val="16"/>
                <w:lang w:eastAsia="fr-FR"/>
              </w:rPr>
            </w:pPr>
            <w:r>
              <w:rPr>
                <w:rFonts w:ascii="Arial" w:eastAsia="Times New Roman" w:hAnsi="Arial" w:cs="Arial"/>
                <w:b/>
                <w:bCs/>
                <w:color w:val="2F2B20" w:themeColor="text1"/>
                <w:sz w:val="16"/>
                <w:szCs w:val="16"/>
                <w:lang w:eastAsia="fr-FR"/>
              </w:rPr>
              <w:t xml:space="preserve">(11) </w:t>
            </w:r>
            <w:r w:rsidR="001625E7" w:rsidRPr="00E617E0">
              <w:rPr>
                <w:rFonts w:ascii="Arial" w:eastAsia="Times New Roman" w:hAnsi="Arial" w:cs="Arial"/>
                <w:b/>
                <w:bCs/>
                <w:color w:val="2F2B20" w:themeColor="text1"/>
                <w:sz w:val="16"/>
                <w:szCs w:val="16"/>
                <w:lang w:eastAsia="fr-FR"/>
              </w:rPr>
              <w:t>PRODUITS INDICIELS COTES/FONDS INDICIELS COTES ETF/EXCHANGE TRADED NOTES ETN/ EXCHANGE TRADED COMMODITIES ETC</w:t>
            </w:r>
          </w:p>
        </w:tc>
      </w:tr>
      <w:tr w:rsidR="00E617E0" w:rsidRPr="00E617E0" w:rsidTr="00A644AE">
        <w:trPr>
          <w:trHeight w:val="870"/>
        </w:trPr>
        <w:tc>
          <w:tcPr>
            <w:tcW w:w="1038" w:type="pct"/>
            <w:vAlign w:val="center"/>
            <w:hideMark/>
          </w:tcPr>
          <w:p w:rsidR="001625E7" w:rsidRPr="00E617E0" w:rsidRDefault="001625E7" w:rsidP="00E617E0">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Indiquer si &lt; 1 ordre exécuté en moyenne par jour ouvrable de l’année précédente</w:t>
            </w:r>
          </w:p>
        </w:tc>
        <w:tc>
          <w:tcPr>
            <w:tcW w:w="3962" w:type="pct"/>
            <w:gridSpan w:val="5"/>
            <w:vAlign w:val="center"/>
            <w:hideMark/>
          </w:tcPr>
          <w:p w:rsidR="001625E7" w:rsidRPr="00E617E0" w:rsidRDefault="001625E7" w:rsidP="00E617E0">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Non</w:t>
            </w:r>
          </w:p>
        </w:tc>
      </w:tr>
      <w:tr w:rsidR="00A644AE" w:rsidRPr="00E617E0" w:rsidTr="00A644AE">
        <w:trPr>
          <w:trHeight w:val="915"/>
        </w:trPr>
        <w:tc>
          <w:tcPr>
            <w:tcW w:w="1038" w:type="pct"/>
            <w:vAlign w:val="center"/>
            <w:hideMark/>
          </w:tcPr>
          <w:p w:rsidR="00A644AE" w:rsidRPr="00E617E0" w:rsidRDefault="00A644AE" w:rsidP="00E617E0">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Cinq premiers courtiers par volumes de négociation (ordre décroissant)</w:t>
            </w:r>
          </w:p>
        </w:tc>
        <w:tc>
          <w:tcPr>
            <w:tcW w:w="1247" w:type="pct"/>
            <w:vAlign w:val="center"/>
            <w:hideMark/>
          </w:tcPr>
          <w:p w:rsidR="00A644AE" w:rsidRPr="00E617E0" w:rsidRDefault="00A644AE" w:rsidP="00E617E0">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volume total dans cette catégorie</w:t>
            </w:r>
          </w:p>
        </w:tc>
        <w:tc>
          <w:tcPr>
            <w:tcW w:w="1049" w:type="pct"/>
            <w:vAlign w:val="center"/>
            <w:hideMark/>
          </w:tcPr>
          <w:p w:rsidR="00A644AE" w:rsidRPr="00E617E0" w:rsidRDefault="00A644AE" w:rsidP="00E617E0">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nombre total dans cette catégorie</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passifs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(1)</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agressifs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(2)</w:t>
            </w:r>
          </w:p>
        </w:tc>
        <w:tc>
          <w:tcPr>
            <w:tcW w:w="555" w:type="pct"/>
            <w:vAlign w:val="center"/>
            <w:hideMark/>
          </w:tcPr>
          <w:p w:rsidR="00A644AE" w:rsidRPr="007475CA" w:rsidRDefault="00A644AE" w:rsidP="000C6385">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dirigés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(3)</w:t>
            </w:r>
          </w:p>
        </w:tc>
      </w:tr>
      <w:tr w:rsidR="00E617E0" w:rsidRPr="00E617E0" w:rsidTr="00A644AE">
        <w:trPr>
          <w:trHeight w:val="420"/>
        </w:trPr>
        <w:tc>
          <w:tcPr>
            <w:tcW w:w="1038" w:type="pct"/>
            <w:vAlign w:val="center"/>
            <w:hideMark/>
          </w:tcPr>
          <w:p w:rsidR="001625E7" w:rsidRPr="00E617E0" w:rsidRDefault="00CC1B37" w:rsidP="00E617E0">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CA Titres</w:t>
            </w:r>
            <w:r w:rsidRPr="007475CA">
              <w:rPr>
                <w:rFonts w:ascii="Arial" w:eastAsia="Times New Roman" w:hAnsi="Arial" w:cs="Arial"/>
                <w:b/>
                <w:bCs/>
                <w:color w:val="2F2B20" w:themeColor="text1"/>
                <w:sz w:val="16"/>
                <w:szCs w:val="16"/>
                <w:lang w:eastAsia="fr-FR"/>
              </w:rPr>
              <w:br/>
            </w:r>
            <w:r w:rsidRPr="007475CA">
              <w:rPr>
                <w:rFonts w:ascii="Arial" w:eastAsia="Times New Roman" w:hAnsi="Arial" w:cs="Arial"/>
                <w:bCs/>
                <w:color w:val="2F2B20" w:themeColor="text1"/>
                <w:sz w:val="16"/>
                <w:szCs w:val="16"/>
                <w:lang w:eastAsia="fr-FR"/>
              </w:rPr>
              <w:t>LEI 969500SKXA3PHVM2FQ66</w:t>
            </w:r>
          </w:p>
        </w:tc>
        <w:tc>
          <w:tcPr>
            <w:tcW w:w="1247" w:type="pct"/>
            <w:vAlign w:val="center"/>
            <w:hideMark/>
          </w:tcPr>
          <w:p w:rsidR="001625E7" w:rsidRPr="00E617E0" w:rsidRDefault="001625E7" w:rsidP="00E617E0">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1049" w:type="pct"/>
            <w:vAlign w:val="center"/>
            <w:hideMark/>
          </w:tcPr>
          <w:p w:rsidR="001625E7" w:rsidRPr="00E617E0" w:rsidRDefault="001625E7" w:rsidP="00E617E0">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555" w:type="pct"/>
            <w:vAlign w:val="center"/>
            <w:hideMark/>
          </w:tcPr>
          <w:p w:rsidR="001625E7" w:rsidRPr="00E617E0" w:rsidRDefault="00E617E0" w:rsidP="00E617E0">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9</w:t>
            </w:r>
            <w:r w:rsidR="001625E7" w:rsidRPr="00E617E0">
              <w:rPr>
                <w:rFonts w:ascii="Arial" w:eastAsia="Times New Roman" w:hAnsi="Arial" w:cs="Arial"/>
                <w:color w:val="2F2B20" w:themeColor="text1"/>
                <w:sz w:val="16"/>
                <w:szCs w:val="16"/>
                <w:lang w:eastAsia="fr-FR"/>
              </w:rPr>
              <w:t>,8</w:t>
            </w:r>
            <w:r>
              <w:rPr>
                <w:rFonts w:ascii="Arial" w:eastAsia="Times New Roman" w:hAnsi="Arial" w:cs="Arial"/>
                <w:color w:val="2F2B20" w:themeColor="text1"/>
                <w:sz w:val="16"/>
                <w:szCs w:val="16"/>
                <w:lang w:eastAsia="fr-FR"/>
              </w:rPr>
              <w:t>7</w:t>
            </w:r>
            <w:r w:rsidR="001625E7" w:rsidRPr="00E617E0">
              <w:rPr>
                <w:rFonts w:ascii="Arial" w:eastAsia="Times New Roman" w:hAnsi="Arial" w:cs="Arial"/>
                <w:color w:val="2F2B20" w:themeColor="text1"/>
                <w:sz w:val="16"/>
                <w:szCs w:val="16"/>
                <w:lang w:eastAsia="fr-FR"/>
              </w:rPr>
              <w:t xml:space="preserve"> %</w:t>
            </w:r>
          </w:p>
        </w:tc>
        <w:tc>
          <w:tcPr>
            <w:tcW w:w="555" w:type="pct"/>
            <w:vAlign w:val="center"/>
            <w:hideMark/>
          </w:tcPr>
          <w:p w:rsidR="001625E7" w:rsidRPr="00E617E0" w:rsidRDefault="00E617E0" w:rsidP="00E617E0">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 xml:space="preserve">89,84 </w:t>
            </w:r>
            <w:r w:rsidR="001625E7" w:rsidRPr="00E617E0">
              <w:rPr>
                <w:rFonts w:ascii="Arial" w:eastAsia="Times New Roman" w:hAnsi="Arial" w:cs="Arial"/>
                <w:color w:val="2F2B20" w:themeColor="text1"/>
                <w:sz w:val="16"/>
                <w:szCs w:val="16"/>
                <w:lang w:eastAsia="fr-FR"/>
              </w:rPr>
              <w:t>%</w:t>
            </w:r>
          </w:p>
        </w:tc>
        <w:tc>
          <w:tcPr>
            <w:tcW w:w="555" w:type="pct"/>
            <w:vAlign w:val="center"/>
            <w:hideMark/>
          </w:tcPr>
          <w:p w:rsidR="001625E7" w:rsidRPr="00E617E0" w:rsidRDefault="00E617E0" w:rsidP="00E617E0">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0,53</w:t>
            </w:r>
            <w:r w:rsidR="001625E7" w:rsidRPr="00E617E0">
              <w:rPr>
                <w:rFonts w:ascii="Arial" w:eastAsia="Times New Roman" w:hAnsi="Arial" w:cs="Arial"/>
                <w:color w:val="2F2B20" w:themeColor="text1"/>
                <w:sz w:val="16"/>
                <w:szCs w:val="16"/>
                <w:lang w:eastAsia="fr-FR"/>
              </w:rPr>
              <w:t xml:space="preserve"> %</w:t>
            </w:r>
          </w:p>
        </w:tc>
      </w:tr>
    </w:tbl>
    <w:p w:rsidR="002627D2" w:rsidRDefault="002627D2" w:rsidP="005A434C">
      <w:pPr>
        <w:spacing w:after="120"/>
        <w:jc w:val="both"/>
        <w:rPr>
          <w:rFonts w:ascii="Arial" w:hAnsi="Arial" w:cs="Arial"/>
          <w:sz w:val="18"/>
        </w:rPr>
      </w:pPr>
    </w:p>
    <w:p w:rsidR="005A434C" w:rsidRDefault="005A434C" w:rsidP="005A434C">
      <w:pPr>
        <w:spacing w:after="120"/>
        <w:jc w:val="both"/>
        <w:rPr>
          <w:rFonts w:ascii="Arial" w:hAnsi="Arial" w:cs="Arial"/>
          <w:sz w:val="18"/>
        </w:rPr>
      </w:pPr>
    </w:p>
    <w:tbl>
      <w:tblPr>
        <w:tblStyle w:val="Grilledutableau"/>
        <w:tblW w:w="5000" w:type="pct"/>
        <w:tblLook w:val="04A0" w:firstRow="1" w:lastRow="0" w:firstColumn="1" w:lastColumn="0" w:noHBand="0" w:noVBand="1"/>
      </w:tblPr>
      <w:tblGrid>
        <w:gridCol w:w="2262"/>
        <w:gridCol w:w="2642"/>
        <w:gridCol w:w="2220"/>
        <w:gridCol w:w="1186"/>
        <w:gridCol w:w="1186"/>
        <w:gridCol w:w="1186"/>
      </w:tblGrid>
      <w:tr w:rsidR="00AF5358" w:rsidRPr="00E617E0" w:rsidTr="003A07A9">
        <w:trPr>
          <w:trHeight w:val="315"/>
        </w:trPr>
        <w:tc>
          <w:tcPr>
            <w:tcW w:w="1038" w:type="pct"/>
            <w:vAlign w:val="center"/>
            <w:hideMark/>
          </w:tcPr>
          <w:p w:rsidR="00AF5358" w:rsidRPr="00E617E0" w:rsidRDefault="00AF5358" w:rsidP="003A07A9">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Catégorie d’instruments</w:t>
            </w:r>
          </w:p>
        </w:tc>
        <w:tc>
          <w:tcPr>
            <w:tcW w:w="3962" w:type="pct"/>
            <w:gridSpan w:val="5"/>
            <w:vAlign w:val="center"/>
            <w:hideMark/>
          </w:tcPr>
          <w:p w:rsidR="00AF5358" w:rsidRPr="005A434C" w:rsidRDefault="00AF5358" w:rsidP="005A434C">
            <w:pPr>
              <w:ind w:left="1440"/>
              <w:rPr>
                <w:rFonts w:ascii="Arial" w:eastAsia="Times New Roman" w:hAnsi="Arial" w:cs="Arial"/>
                <w:b/>
                <w:bCs/>
                <w:color w:val="2F2B20" w:themeColor="text1"/>
                <w:sz w:val="16"/>
                <w:szCs w:val="16"/>
                <w:lang w:eastAsia="fr-FR"/>
              </w:rPr>
            </w:pPr>
            <w:r>
              <w:rPr>
                <w:rFonts w:ascii="Arial" w:eastAsia="Times New Roman" w:hAnsi="Arial" w:cs="Arial"/>
                <w:b/>
                <w:bCs/>
                <w:color w:val="2F2B20" w:themeColor="text1"/>
                <w:sz w:val="16"/>
                <w:szCs w:val="16"/>
                <w:lang w:eastAsia="fr-FR"/>
              </w:rPr>
              <w:t>(3</w:t>
            </w:r>
            <w:r w:rsidR="005A434C">
              <w:rPr>
                <w:rFonts w:ascii="Arial" w:eastAsia="Times New Roman" w:hAnsi="Arial" w:cs="Arial"/>
                <w:b/>
                <w:bCs/>
                <w:color w:val="2F2B20" w:themeColor="text1"/>
                <w:sz w:val="16"/>
                <w:szCs w:val="16"/>
                <w:lang w:eastAsia="fr-FR"/>
              </w:rPr>
              <w:t>ii</w:t>
            </w:r>
            <w:r>
              <w:rPr>
                <w:rFonts w:ascii="Arial" w:eastAsia="Times New Roman" w:hAnsi="Arial" w:cs="Arial"/>
                <w:b/>
                <w:bCs/>
                <w:color w:val="2F2B20" w:themeColor="text1"/>
                <w:sz w:val="16"/>
                <w:szCs w:val="16"/>
                <w:lang w:eastAsia="fr-FR"/>
              </w:rPr>
              <w:t xml:space="preserve">) </w:t>
            </w:r>
            <w:r w:rsidR="005A434C" w:rsidRPr="005A434C">
              <w:rPr>
                <w:rFonts w:ascii="Arial" w:eastAsia="Times New Roman" w:hAnsi="Arial" w:cs="Arial"/>
                <w:b/>
                <w:bCs/>
                <w:color w:val="2F2B20" w:themeColor="text1"/>
                <w:sz w:val="16"/>
                <w:szCs w:val="16"/>
                <w:lang w:eastAsia="fr-FR"/>
              </w:rPr>
              <w:t xml:space="preserve">SWAPS, FORWARDS ET AUTRES DERIVES SUR TAUX D'INTERET </w:t>
            </w:r>
          </w:p>
        </w:tc>
      </w:tr>
      <w:tr w:rsidR="00AF5358" w:rsidRPr="00E617E0" w:rsidTr="003A07A9">
        <w:trPr>
          <w:trHeight w:val="870"/>
        </w:trPr>
        <w:tc>
          <w:tcPr>
            <w:tcW w:w="1038" w:type="pct"/>
            <w:vAlign w:val="center"/>
            <w:hideMark/>
          </w:tcPr>
          <w:p w:rsidR="00AF5358" w:rsidRPr="00E617E0" w:rsidRDefault="00AF5358" w:rsidP="003A07A9">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Indiquer si &lt; 1 ordre exécuté en moyenne par jour ouvrable de l’année précédente</w:t>
            </w:r>
          </w:p>
        </w:tc>
        <w:tc>
          <w:tcPr>
            <w:tcW w:w="3962" w:type="pct"/>
            <w:gridSpan w:val="5"/>
            <w:vAlign w:val="center"/>
            <w:hideMark/>
          </w:tcPr>
          <w:p w:rsidR="00AF5358" w:rsidRPr="00E617E0" w:rsidRDefault="00AF5358" w:rsidP="003A07A9">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Oui</w:t>
            </w:r>
          </w:p>
        </w:tc>
      </w:tr>
      <w:tr w:rsidR="00AF5358" w:rsidRPr="00E617E0" w:rsidTr="003A07A9">
        <w:trPr>
          <w:trHeight w:val="915"/>
        </w:trPr>
        <w:tc>
          <w:tcPr>
            <w:tcW w:w="1038" w:type="pct"/>
            <w:vAlign w:val="center"/>
            <w:hideMark/>
          </w:tcPr>
          <w:p w:rsidR="00AF5358" w:rsidRPr="00E617E0" w:rsidRDefault="00AF5358" w:rsidP="003A07A9">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Cinq premiers courtiers par volumes de négociation (ordre décroissant)</w:t>
            </w:r>
          </w:p>
        </w:tc>
        <w:tc>
          <w:tcPr>
            <w:tcW w:w="1247" w:type="pct"/>
            <w:vAlign w:val="center"/>
            <w:hideMark/>
          </w:tcPr>
          <w:p w:rsidR="00AF5358" w:rsidRPr="00E617E0" w:rsidRDefault="00AF5358" w:rsidP="003A07A9">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volume total dans cette catégorie</w:t>
            </w:r>
          </w:p>
        </w:tc>
        <w:tc>
          <w:tcPr>
            <w:tcW w:w="1049" w:type="pct"/>
            <w:vAlign w:val="center"/>
            <w:hideMark/>
          </w:tcPr>
          <w:p w:rsidR="00AF5358" w:rsidRPr="00E617E0" w:rsidRDefault="00AF5358" w:rsidP="003A07A9">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nombre total dans cette catégorie</w:t>
            </w:r>
          </w:p>
        </w:tc>
        <w:tc>
          <w:tcPr>
            <w:tcW w:w="555" w:type="pct"/>
            <w:vAlign w:val="center"/>
            <w:hideMark/>
          </w:tcPr>
          <w:p w:rsidR="00AF5358" w:rsidRPr="007475CA" w:rsidRDefault="00AF5358" w:rsidP="003A07A9">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passifs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(1)</w:t>
            </w:r>
          </w:p>
        </w:tc>
        <w:tc>
          <w:tcPr>
            <w:tcW w:w="555" w:type="pct"/>
            <w:vAlign w:val="center"/>
            <w:hideMark/>
          </w:tcPr>
          <w:p w:rsidR="00AF5358" w:rsidRPr="007475CA" w:rsidRDefault="00AF5358" w:rsidP="003A07A9">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agressifs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(2)</w:t>
            </w:r>
          </w:p>
        </w:tc>
        <w:tc>
          <w:tcPr>
            <w:tcW w:w="555" w:type="pct"/>
            <w:vAlign w:val="center"/>
            <w:hideMark/>
          </w:tcPr>
          <w:p w:rsidR="00AF5358" w:rsidRPr="007475CA" w:rsidRDefault="00AF5358" w:rsidP="003A07A9">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dirigés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(3)</w:t>
            </w:r>
          </w:p>
        </w:tc>
      </w:tr>
      <w:tr w:rsidR="00AF5358" w:rsidRPr="00E617E0" w:rsidTr="003A07A9">
        <w:trPr>
          <w:trHeight w:val="420"/>
        </w:trPr>
        <w:tc>
          <w:tcPr>
            <w:tcW w:w="1038" w:type="pct"/>
            <w:vAlign w:val="center"/>
            <w:hideMark/>
          </w:tcPr>
          <w:p w:rsidR="00AF5358" w:rsidRPr="00AF5358" w:rsidRDefault="00AF5358" w:rsidP="00AF5358">
            <w:pPr>
              <w:jc w:val="center"/>
              <w:rPr>
                <w:rFonts w:ascii="Arial" w:eastAsia="Times New Roman" w:hAnsi="Arial" w:cs="Arial"/>
                <w:b/>
                <w:bCs/>
                <w:color w:val="2F2B20" w:themeColor="text1"/>
                <w:sz w:val="16"/>
                <w:szCs w:val="16"/>
                <w:lang w:eastAsia="fr-FR"/>
              </w:rPr>
            </w:pPr>
            <w:r w:rsidRPr="00AF5358">
              <w:rPr>
                <w:rFonts w:ascii="Arial" w:eastAsia="Times New Roman" w:hAnsi="Arial" w:cs="Arial"/>
                <w:b/>
                <w:bCs/>
                <w:color w:val="2F2B20" w:themeColor="text1"/>
                <w:sz w:val="16"/>
                <w:szCs w:val="16"/>
                <w:lang w:eastAsia="fr-FR"/>
              </w:rPr>
              <w:t xml:space="preserve">CACIB </w:t>
            </w:r>
          </w:p>
          <w:p w:rsidR="00AF5358" w:rsidRPr="00AF5358" w:rsidRDefault="00AF5358" w:rsidP="00AF5358">
            <w:pPr>
              <w:jc w:val="center"/>
              <w:rPr>
                <w:rFonts w:ascii="Arial" w:eastAsia="Times New Roman" w:hAnsi="Arial" w:cs="Arial"/>
                <w:bCs/>
                <w:color w:val="2F2B20" w:themeColor="text1"/>
                <w:sz w:val="16"/>
                <w:szCs w:val="16"/>
                <w:lang w:eastAsia="fr-FR"/>
              </w:rPr>
            </w:pPr>
            <w:r w:rsidRPr="00AF5358">
              <w:rPr>
                <w:rFonts w:ascii="Arial" w:eastAsia="Times New Roman" w:hAnsi="Arial" w:cs="Arial"/>
                <w:bCs/>
                <w:color w:val="2F2B20" w:themeColor="text1"/>
                <w:sz w:val="16"/>
                <w:szCs w:val="16"/>
                <w:lang w:eastAsia="fr-FR"/>
              </w:rPr>
              <w:t>LEI 1VUV7VQFKUOQSJ21A208</w:t>
            </w:r>
          </w:p>
        </w:tc>
        <w:tc>
          <w:tcPr>
            <w:tcW w:w="1247" w:type="pct"/>
            <w:vAlign w:val="center"/>
            <w:hideMark/>
          </w:tcPr>
          <w:p w:rsidR="00AF5358" w:rsidRPr="00E617E0" w:rsidRDefault="00AF5358" w:rsidP="003A07A9">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1049" w:type="pct"/>
            <w:vAlign w:val="center"/>
            <w:hideMark/>
          </w:tcPr>
          <w:p w:rsidR="00AF5358" w:rsidRPr="00E617E0" w:rsidRDefault="00AF5358" w:rsidP="003A07A9">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555" w:type="pct"/>
            <w:vAlign w:val="center"/>
            <w:hideMark/>
          </w:tcPr>
          <w:p w:rsidR="00AF5358" w:rsidRPr="00E617E0" w:rsidRDefault="00AF5358" w:rsidP="003A07A9">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c>
          <w:tcPr>
            <w:tcW w:w="555" w:type="pct"/>
            <w:vAlign w:val="center"/>
            <w:hideMark/>
          </w:tcPr>
          <w:p w:rsidR="00AF5358" w:rsidRPr="00E617E0" w:rsidRDefault="00AF5358" w:rsidP="003A07A9">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c>
          <w:tcPr>
            <w:tcW w:w="555" w:type="pct"/>
            <w:vAlign w:val="center"/>
            <w:hideMark/>
          </w:tcPr>
          <w:p w:rsidR="00AF5358" w:rsidRPr="00E617E0" w:rsidRDefault="00AF5358" w:rsidP="003A07A9">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r>
    </w:tbl>
    <w:p w:rsidR="00AF5358" w:rsidRDefault="00AF5358" w:rsidP="005A434C">
      <w:pPr>
        <w:spacing w:after="120"/>
        <w:jc w:val="both"/>
        <w:rPr>
          <w:rFonts w:ascii="Arial" w:hAnsi="Arial" w:cs="Arial"/>
          <w:sz w:val="18"/>
        </w:rPr>
      </w:pPr>
    </w:p>
    <w:p w:rsidR="005A434C" w:rsidRDefault="005A434C" w:rsidP="005A434C">
      <w:pPr>
        <w:spacing w:after="120"/>
        <w:jc w:val="both"/>
        <w:rPr>
          <w:rFonts w:ascii="Arial" w:hAnsi="Arial" w:cs="Arial"/>
          <w:sz w:val="18"/>
        </w:rPr>
      </w:pPr>
    </w:p>
    <w:tbl>
      <w:tblPr>
        <w:tblStyle w:val="Grilledutableau"/>
        <w:tblW w:w="5000" w:type="pct"/>
        <w:tblLook w:val="04A0" w:firstRow="1" w:lastRow="0" w:firstColumn="1" w:lastColumn="0" w:noHBand="0" w:noVBand="1"/>
      </w:tblPr>
      <w:tblGrid>
        <w:gridCol w:w="2262"/>
        <w:gridCol w:w="2642"/>
        <w:gridCol w:w="2220"/>
        <w:gridCol w:w="1186"/>
        <w:gridCol w:w="1186"/>
        <w:gridCol w:w="1186"/>
      </w:tblGrid>
      <w:tr w:rsidR="005A434C" w:rsidRPr="005A434C" w:rsidTr="00DB7937">
        <w:trPr>
          <w:trHeight w:val="315"/>
        </w:trPr>
        <w:tc>
          <w:tcPr>
            <w:tcW w:w="1038"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Catégorie d’instruments</w:t>
            </w:r>
          </w:p>
        </w:tc>
        <w:tc>
          <w:tcPr>
            <w:tcW w:w="3962" w:type="pct"/>
            <w:gridSpan w:val="5"/>
            <w:vAlign w:val="center"/>
            <w:hideMark/>
          </w:tcPr>
          <w:p w:rsidR="005A434C" w:rsidRPr="005A434C" w:rsidRDefault="005A434C" w:rsidP="005A434C">
            <w:pPr>
              <w:ind w:left="1440"/>
              <w:rPr>
                <w:rFonts w:ascii="Arial" w:eastAsia="Times New Roman" w:hAnsi="Arial" w:cs="Arial"/>
                <w:b/>
                <w:bCs/>
                <w:color w:val="2F2B20" w:themeColor="text1"/>
                <w:sz w:val="16"/>
                <w:szCs w:val="16"/>
                <w:lang w:eastAsia="fr-FR"/>
              </w:rPr>
            </w:pPr>
            <w:r>
              <w:rPr>
                <w:rFonts w:ascii="Arial" w:eastAsia="Times New Roman" w:hAnsi="Arial" w:cs="Arial"/>
                <w:b/>
                <w:bCs/>
                <w:color w:val="2F2B20" w:themeColor="text1"/>
                <w:sz w:val="16"/>
                <w:szCs w:val="16"/>
                <w:lang w:eastAsia="fr-FR"/>
              </w:rPr>
              <w:t xml:space="preserve">(5ii) </w:t>
            </w:r>
            <w:r w:rsidRPr="005A434C">
              <w:rPr>
                <w:rFonts w:ascii="Arial" w:eastAsia="Times New Roman" w:hAnsi="Arial" w:cs="Arial"/>
                <w:b/>
                <w:bCs/>
                <w:color w:val="2F2B20" w:themeColor="text1"/>
                <w:sz w:val="16"/>
                <w:szCs w:val="16"/>
                <w:lang w:eastAsia="fr-FR"/>
              </w:rPr>
              <w:t xml:space="preserve">SWAPS, FORWARDS ET AUTRES DERIVES SUR </w:t>
            </w:r>
            <w:r>
              <w:rPr>
                <w:rFonts w:ascii="Arial" w:eastAsia="Times New Roman" w:hAnsi="Arial" w:cs="Arial"/>
                <w:b/>
                <w:bCs/>
                <w:color w:val="2F2B20" w:themeColor="text1"/>
                <w:sz w:val="16"/>
                <w:szCs w:val="16"/>
                <w:lang w:eastAsia="fr-FR"/>
              </w:rPr>
              <w:t>DEVISES</w:t>
            </w:r>
            <w:r w:rsidRPr="005A434C">
              <w:rPr>
                <w:rFonts w:ascii="Arial" w:eastAsia="Times New Roman" w:hAnsi="Arial" w:cs="Arial"/>
                <w:b/>
                <w:bCs/>
                <w:color w:val="2F2B20" w:themeColor="text1"/>
                <w:sz w:val="16"/>
                <w:szCs w:val="16"/>
                <w:lang w:eastAsia="fr-FR"/>
              </w:rPr>
              <w:t xml:space="preserve"> </w:t>
            </w:r>
          </w:p>
        </w:tc>
      </w:tr>
      <w:tr w:rsidR="005A434C" w:rsidRPr="00E617E0" w:rsidTr="00DB7937">
        <w:trPr>
          <w:trHeight w:val="870"/>
        </w:trPr>
        <w:tc>
          <w:tcPr>
            <w:tcW w:w="1038"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Indiquer si &lt; 1 ordre exécuté en moyenne par jour ouvrable de l’année précédente</w:t>
            </w:r>
          </w:p>
        </w:tc>
        <w:tc>
          <w:tcPr>
            <w:tcW w:w="3962" w:type="pct"/>
            <w:gridSpan w:val="5"/>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Oui</w:t>
            </w:r>
          </w:p>
        </w:tc>
      </w:tr>
      <w:tr w:rsidR="005A434C" w:rsidRPr="007475CA" w:rsidTr="00DB7937">
        <w:trPr>
          <w:trHeight w:val="915"/>
        </w:trPr>
        <w:tc>
          <w:tcPr>
            <w:tcW w:w="1038"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Cinq premiers courtiers par volumes de négociation (ordre décroissant)</w:t>
            </w:r>
          </w:p>
        </w:tc>
        <w:tc>
          <w:tcPr>
            <w:tcW w:w="1247"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volume total dans cette catégorie</w:t>
            </w:r>
          </w:p>
        </w:tc>
        <w:tc>
          <w:tcPr>
            <w:tcW w:w="1049"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nombre total dans cette catégorie</w:t>
            </w:r>
          </w:p>
        </w:tc>
        <w:tc>
          <w:tcPr>
            <w:tcW w:w="555" w:type="pct"/>
            <w:vAlign w:val="center"/>
            <w:hideMark/>
          </w:tcPr>
          <w:p w:rsidR="005A434C" w:rsidRPr="007475CA" w:rsidRDefault="005A434C" w:rsidP="00DB7937">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passifs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(1)</w:t>
            </w:r>
          </w:p>
        </w:tc>
        <w:tc>
          <w:tcPr>
            <w:tcW w:w="555" w:type="pct"/>
            <w:vAlign w:val="center"/>
            <w:hideMark/>
          </w:tcPr>
          <w:p w:rsidR="005A434C" w:rsidRPr="007475CA" w:rsidRDefault="005A434C" w:rsidP="00DB7937">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agressifs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(2)</w:t>
            </w:r>
          </w:p>
        </w:tc>
        <w:tc>
          <w:tcPr>
            <w:tcW w:w="555" w:type="pct"/>
            <w:vAlign w:val="center"/>
            <w:hideMark/>
          </w:tcPr>
          <w:p w:rsidR="005A434C" w:rsidRPr="007475CA" w:rsidRDefault="005A434C" w:rsidP="00DB7937">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dirigés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(3)</w:t>
            </w:r>
          </w:p>
        </w:tc>
      </w:tr>
      <w:tr w:rsidR="005A434C" w:rsidRPr="00E617E0" w:rsidTr="00DB7937">
        <w:trPr>
          <w:trHeight w:val="420"/>
        </w:trPr>
        <w:tc>
          <w:tcPr>
            <w:tcW w:w="1038" w:type="pct"/>
            <w:vAlign w:val="center"/>
            <w:hideMark/>
          </w:tcPr>
          <w:p w:rsidR="005A434C" w:rsidRPr="00AF5358" w:rsidRDefault="005A434C" w:rsidP="00DB7937">
            <w:pPr>
              <w:jc w:val="center"/>
              <w:rPr>
                <w:rFonts w:ascii="Arial" w:eastAsia="Times New Roman" w:hAnsi="Arial" w:cs="Arial"/>
                <w:b/>
                <w:bCs/>
                <w:color w:val="2F2B20" w:themeColor="text1"/>
                <w:sz w:val="16"/>
                <w:szCs w:val="16"/>
                <w:lang w:eastAsia="fr-FR"/>
              </w:rPr>
            </w:pPr>
            <w:r w:rsidRPr="00AF5358">
              <w:rPr>
                <w:rFonts w:ascii="Arial" w:eastAsia="Times New Roman" w:hAnsi="Arial" w:cs="Arial"/>
                <w:b/>
                <w:bCs/>
                <w:color w:val="2F2B20" w:themeColor="text1"/>
                <w:sz w:val="16"/>
                <w:szCs w:val="16"/>
                <w:lang w:eastAsia="fr-FR"/>
              </w:rPr>
              <w:t xml:space="preserve">CACIB </w:t>
            </w:r>
          </w:p>
          <w:p w:rsidR="005A434C" w:rsidRPr="00AF5358" w:rsidRDefault="005A434C" w:rsidP="00DB7937">
            <w:pPr>
              <w:jc w:val="center"/>
              <w:rPr>
                <w:rFonts w:ascii="Arial" w:eastAsia="Times New Roman" w:hAnsi="Arial" w:cs="Arial"/>
                <w:bCs/>
                <w:color w:val="2F2B20" w:themeColor="text1"/>
                <w:sz w:val="16"/>
                <w:szCs w:val="16"/>
                <w:lang w:eastAsia="fr-FR"/>
              </w:rPr>
            </w:pPr>
            <w:r w:rsidRPr="00AF5358">
              <w:rPr>
                <w:rFonts w:ascii="Arial" w:eastAsia="Times New Roman" w:hAnsi="Arial" w:cs="Arial"/>
                <w:bCs/>
                <w:color w:val="2F2B20" w:themeColor="text1"/>
                <w:sz w:val="16"/>
                <w:szCs w:val="16"/>
                <w:lang w:eastAsia="fr-FR"/>
              </w:rPr>
              <w:t>LEI 1VUV7VQFKUOQSJ21A208</w:t>
            </w:r>
          </w:p>
        </w:tc>
        <w:tc>
          <w:tcPr>
            <w:tcW w:w="1247"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1049"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555"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c>
          <w:tcPr>
            <w:tcW w:w="555"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c>
          <w:tcPr>
            <w:tcW w:w="555"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r>
    </w:tbl>
    <w:p w:rsidR="005A434C" w:rsidRDefault="005A434C" w:rsidP="007475CA">
      <w:pPr>
        <w:jc w:val="both"/>
        <w:rPr>
          <w:rFonts w:ascii="Arial" w:hAnsi="Arial" w:cs="Arial"/>
          <w:sz w:val="18"/>
        </w:rPr>
      </w:pPr>
    </w:p>
    <w:p w:rsidR="005A434C" w:rsidRDefault="005A434C" w:rsidP="007475CA">
      <w:pPr>
        <w:jc w:val="both"/>
        <w:rPr>
          <w:rFonts w:ascii="Arial" w:hAnsi="Arial" w:cs="Arial"/>
          <w:sz w:val="18"/>
        </w:rPr>
      </w:pPr>
    </w:p>
    <w:p w:rsidR="00A644AE" w:rsidRDefault="00A644AE" w:rsidP="00A644AE">
      <w:pPr>
        <w:pStyle w:val="Paragraphedeliste"/>
        <w:numPr>
          <w:ilvl w:val="0"/>
          <w:numId w:val="2"/>
        </w:numPr>
        <w:jc w:val="both"/>
        <w:rPr>
          <w:rFonts w:ascii="Arial" w:hAnsi="Arial" w:cs="Arial"/>
          <w:b/>
          <w:color w:val="2F2B20" w:themeColor="text1"/>
          <w:sz w:val="18"/>
        </w:rPr>
      </w:pPr>
      <w:r>
        <w:rPr>
          <w:rFonts w:ascii="Arial" w:hAnsi="Arial" w:cs="Arial"/>
          <w:b/>
          <w:color w:val="2F2B20" w:themeColor="text1"/>
          <w:sz w:val="18"/>
        </w:rPr>
        <w:t xml:space="preserve">Pour les clients </w:t>
      </w:r>
      <w:r w:rsidRPr="00A644AE">
        <w:rPr>
          <w:rFonts w:ascii="Arial" w:hAnsi="Arial" w:cs="Arial"/>
          <w:b/>
          <w:color w:val="2F2B20" w:themeColor="text1"/>
          <w:sz w:val="18"/>
        </w:rPr>
        <w:t>professionnels :</w:t>
      </w:r>
    </w:p>
    <w:p w:rsidR="005A434C" w:rsidRPr="00A644AE" w:rsidRDefault="005A434C" w:rsidP="005A434C">
      <w:pPr>
        <w:pStyle w:val="Paragraphedeliste"/>
        <w:jc w:val="both"/>
        <w:rPr>
          <w:rFonts w:ascii="Arial" w:hAnsi="Arial" w:cs="Arial"/>
          <w:b/>
          <w:color w:val="2F2B20" w:themeColor="text1"/>
          <w:sz w:val="18"/>
        </w:rPr>
      </w:pPr>
    </w:p>
    <w:tbl>
      <w:tblPr>
        <w:tblStyle w:val="Grilledutableau"/>
        <w:tblW w:w="5000" w:type="pct"/>
        <w:tblLook w:val="04A0" w:firstRow="1" w:lastRow="0" w:firstColumn="1" w:lastColumn="0" w:noHBand="0" w:noVBand="1"/>
      </w:tblPr>
      <w:tblGrid>
        <w:gridCol w:w="2262"/>
        <w:gridCol w:w="2642"/>
        <w:gridCol w:w="2220"/>
        <w:gridCol w:w="1186"/>
        <w:gridCol w:w="1186"/>
        <w:gridCol w:w="1186"/>
      </w:tblGrid>
      <w:tr w:rsidR="005A434C" w:rsidRPr="005A434C" w:rsidTr="00DB7937">
        <w:trPr>
          <w:trHeight w:val="315"/>
        </w:trPr>
        <w:tc>
          <w:tcPr>
            <w:tcW w:w="1038"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Catégorie d’instruments</w:t>
            </w:r>
          </w:p>
        </w:tc>
        <w:tc>
          <w:tcPr>
            <w:tcW w:w="3962" w:type="pct"/>
            <w:gridSpan w:val="5"/>
            <w:vAlign w:val="center"/>
            <w:hideMark/>
          </w:tcPr>
          <w:p w:rsidR="005A434C" w:rsidRPr="005A434C" w:rsidRDefault="005A434C" w:rsidP="00DB7937">
            <w:pPr>
              <w:ind w:left="1440"/>
              <w:rPr>
                <w:rFonts w:ascii="Arial" w:eastAsia="Times New Roman" w:hAnsi="Arial" w:cs="Arial"/>
                <w:b/>
                <w:bCs/>
                <w:color w:val="2F2B20" w:themeColor="text1"/>
                <w:sz w:val="16"/>
                <w:szCs w:val="16"/>
                <w:lang w:eastAsia="fr-FR"/>
              </w:rPr>
            </w:pPr>
            <w:r>
              <w:rPr>
                <w:rFonts w:ascii="Arial" w:eastAsia="Times New Roman" w:hAnsi="Arial" w:cs="Arial"/>
                <w:b/>
                <w:bCs/>
                <w:color w:val="2F2B20" w:themeColor="text1"/>
                <w:sz w:val="16"/>
                <w:szCs w:val="16"/>
                <w:lang w:eastAsia="fr-FR"/>
              </w:rPr>
              <w:t xml:space="preserve">(3ii) </w:t>
            </w:r>
            <w:r w:rsidRPr="005A434C">
              <w:rPr>
                <w:rFonts w:ascii="Arial" w:eastAsia="Times New Roman" w:hAnsi="Arial" w:cs="Arial"/>
                <w:b/>
                <w:bCs/>
                <w:color w:val="2F2B20" w:themeColor="text1"/>
                <w:sz w:val="16"/>
                <w:szCs w:val="16"/>
                <w:lang w:eastAsia="fr-FR"/>
              </w:rPr>
              <w:t xml:space="preserve">SWAPS, FORWARDS ET AUTRES DERIVES SUR TAUX D'INTERET </w:t>
            </w:r>
          </w:p>
        </w:tc>
      </w:tr>
      <w:tr w:rsidR="005A434C" w:rsidRPr="00E617E0" w:rsidTr="00DB7937">
        <w:trPr>
          <w:trHeight w:val="870"/>
        </w:trPr>
        <w:tc>
          <w:tcPr>
            <w:tcW w:w="1038"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Indiquer si &lt; 1 ordre exécuté en moyenne par jour ouvrable de l’année précédente</w:t>
            </w:r>
          </w:p>
        </w:tc>
        <w:tc>
          <w:tcPr>
            <w:tcW w:w="3962" w:type="pct"/>
            <w:gridSpan w:val="5"/>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Oui</w:t>
            </w:r>
          </w:p>
        </w:tc>
      </w:tr>
      <w:tr w:rsidR="005A434C" w:rsidRPr="007475CA" w:rsidTr="00DB7937">
        <w:trPr>
          <w:trHeight w:val="915"/>
        </w:trPr>
        <w:tc>
          <w:tcPr>
            <w:tcW w:w="1038"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Cinq premiers courtiers par volumes de négociation (ordre décroissant)</w:t>
            </w:r>
          </w:p>
        </w:tc>
        <w:tc>
          <w:tcPr>
            <w:tcW w:w="1247"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volume total dans cette catégorie</w:t>
            </w:r>
          </w:p>
        </w:tc>
        <w:tc>
          <w:tcPr>
            <w:tcW w:w="1049"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nombre total dans cette catégorie</w:t>
            </w:r>
          </w:p>
        </w:tc>
        <w:tc>
          <w:tcPr>
            <w:tcW w:w="555" w:type="pct"/>
            <w:vAlign w:val="center"/>
            <w:hideMark/>
          </w:tcPr>
          <w:p w:rsidR="005A434C" w:rsidRPr="007475CA" w:rsidRDefault="005A434C" w:rsidP="00DB7937">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passifs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(1)</w:t>
            </w:r>
          </w:p>
        </w:tc>
        <w:tc>
          <w:tcPr>
            <w:tcW w:w="555" w:type="pct"/>
            <w:vAlign w:val="center"/>
            <w:hideMark/>
          </w:tcPr>
          <w:p w:rsidR="005A434C" w:rsidRPr="007475CA" w:rsidRDefault="005A434C" w:rsidP="00DB7937">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agressifs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(2)</w:t>
            </w:r>
          </w:p>
        </w:tc>
        <w:tc>
          <w:tcPr>
            <w:tcW w:w="555" w:type="pct"/>
            <w:vAlign w:val="center"/>
            <w:hideMark/>
          </w:tcPr>
          <w:p w:rsidR="005A434C" w:rsidRPr="007475CA" w:rsidRDefault="005A434C" w:rsidP="00DB7937">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dirigés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(3)</w:t>
            </w:r>
          </w:p>
        </w:tc>
      </w:tr>
      <w:tr w:rsidR="005A434C" w:rsidRPr="00E617E0" w:rsidTr="00DB7937">
        <w:trPr>
          <w:trHeight w:val="420"/>
        </w:trPr>
        <w:tc>
          <w:tcPr>
            <w:tcW w:w="1038" w:type="pct"/>
            <w:vAlign w:val="center"/>
            <w:hideMark/>
          </w:tcPr>
          <w:p w:rsidR="005A434C" w:rsidRPr="00AF5358" w:rsidRDefault="005A434C" w:rsidP="00DB7937">
            <w:pPr>
              <w:jc w:val="center"/>
              <w:rPr>
                <w:rFonts w:ascii="Arial" w:eastAsia="Times New Roman" w:hAnsi="Arial" w:cs="Arial"/>
                <w:b/>
                <w:bCs/>
                <w:color w:val="2F2B20" w:themeColor="text1"/>
                <w:sz w:val="16"/>
                <w:szCs w:val="16"/>
                <w:lang w:eastAsia="fr-FR"/>
              </w:rPr>
            </w:pPr>
            <w:r w:rsidRPr="00AF5358">
              <w:rPr>
                <w:rFonts w:ascii="Arial" w:eastAsia="Times New Roman" w:hAnsi="Arial" w:cs="Arial"/>
                <w:b/>
                <w:bCs/>
                <w:color w:val="2F2B20" w:themeColor="text1"/>
                <w:sz w:val="16"/>
                <w:szCs w:val="16"/>
                <w:lang w:eastAsia="fr-FR"/>
              </w:rPr>
              <w:t xml:space="preserve">CACIB </w:t>
            </w:r>
          </w:p>
          <w:p w:rsidR="005A434C" w:rsidRPr="00AF5358" w:rsidRDefault="005A434C" w:rsidP="00DB7937">
            <w:pPr>
              <w:jc w:val="center"/>
              <w:rPr>
                <w:rFonts w:ascii="Arial" w:eastAsia="Times New Roman" w:hAnsi="Arial" w:cs="Arial"/>
                <w:bCs/>
                <w:color w:val="2F2B20" w:themeColor="text1"/>
                <w:sz w:val="16"/>
                <w:szCs w:val="16"/>
                <w:lang w:eastAsia="fr-FR"/>
              </w:rPr>
            </w:pPr>
            <w:r w:rsidRPr="00AF5358">
              <w:rPr>
                <w:rFonts w:ascii="Arial" w:eastAsia="Times New Roman" w:hAnsi="Arial" w:cs="Arial"/>
                <w:bCs/>
                <w:color w:val="2F2B20" w:themeColor="text1"/>
                <w:sz w:val="16"/>
                <w:szCs w:val="16"/>
                <w:lang w:eastAsia="fr-FR"/>
              </w:rPr>
              <w:t>LEI 1VUV7VQFKUOQSJ21A208</w:t>
            </w:r>
          </w:p>
        </w:tc>
        <w:tc>
          <w:tcPr>
            <w:tcW w:w="1247"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1049"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555"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c>
          <w:tcPr>
            <w:tcW w:w="555"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c>
          <w:tcPr>
            <w:tcW w:w="555"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r>
    </w:tbl>
    <w:p w:rsidR="00A644AE" w:rsidRDefault="00A644AE" w:rsidP="005A434C">
      <w:pPr>
        <w:spacing w:after="120"/>
        <w:ind w:left="357"/>
        <w:jc w:val="both"/>
        <w:rPr>
          <w:rFonts w:ascii="Arial" w:hAnsi="Arial" w:cs="Arial"/>
          <w:b/>
          <w:color w:val="2F2B20" w:themeColor="text1"/>
          <w:sz w:val="18"/>
        </w:rPr>
      </w:pPr>
    </w:p>
    <w:p w:rsidR="005A434C" w:rsidRDefault="005A434C" w:rsidP="005A434C">
      <w:pPr>
        <w:spacing w:after="120"/>
        <w:ind w:left="357"/>
        <w:jc w:val="both"/>
        <w:rPr>
          <w:rFonts w:ascii="Arial" w:hAnsi="Arial" w:cs="Arial"/>
          <w:b/>
          <w:color w:val="2F2B20" w:themeColor="text1"/>
          <w:sz w:val="18"/>
        </w:rPr>
      </w:pPr>
    </w:p>
    <w:p w:rsidR="005A434C" w:rsidRDefault="005A434C" w:rsidP="005A434C">
      <w:pPr>
        <w:spacing w:after="120"/>
        <w:ind w:left="357"/>
        <w:jc w:val="both"/>
        <w:rPr>
          <w:rFonts w:ascii="Arial" w:hAnsi="Arial" w:cs="Arial"/>
          <w:b/>
          <w:color w:val="2F2B20" w:themeColor="text1"/>
          <w:sz w:val="18"/>
        </w:rPr>
      </w:pPr>
    </w:p>
    <w:p w:rsidR="005A434C" w:rsidRDefault="005A434C" w:rsidP="005A434C">
      <w:pPr>
        <w:spacing w:after="120"/>
        <w:ind w:left="357"/>
        <w:jc w:val="both"/>
        <w:rPr>
          <w:rFonts w:ascii="Arial" w:hAnsi="Arial" w:cs="Arial"/>
          <w:b/>
          <w:color w:val="2F2B20" w:themeColor="text1"/>
          <w:sz w:val="18"/>
        </w:rPr>
      </w:pPr>
    </w:p>
    <w:tbl>
      <w:tblPr>
        <w:tblStyle w:val="Grilledutableau"/>
        <w:tblW w:w="5000" w:type="pct"/>
        <w:tblLook w:val="04A0" w:firstRow="1" w:lastRow="0" w:firstColumn="1" w:lastColumn="0" w:noHBand="0" w:noVBand="1"/>
      </w:tblPr>
      <w:tblGrid>
        <w:gridCol w:w="2262"/>
        <w:gridCol w:w="2642"/>
        <w:gridCol w:w="2220"/>
        <w:gridCol w:w="1186"/>
        <w:gridCol w:w="1186"/>
        <w:gridCol w:w="1186"/>
      </w:tblGrid>
      <w:tr w:rsidR="005A434C" w:rsidRPr="005A434C" w:rsidTr="00DB7937">
        <w:trPr>
          <w:trHeight w:val="315"/>
        </w:trPr>
        <w:tc>
          <w:tcPr>
            <w:tcW w:w="1038"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lastRenderedPageBreak/>
              <w:t>Catégorie d’instruments</w:t>
            </w:r>
          </w:p>
        </w:tc>
        <w:tc>
          <w:tcPr>
            <w:tcW w:w="3962" w:type="pct"/>
            <w:gridSpan w:val="5"/>
            <w:vAlign w:val="center"/>
            <w:hideMark/>
          </w:tcPr>
          <w:p w:rsidR="005A434C" w:rsidRPr="005A434C" w:rsidRDefault="00264F39" w:rsidP="00DB7937">
            <w:pPr>
              <w:ind w:left="1440"/>
              <w:rPr>
                <w:rFonts w:ascii="Arial" w:eastAsia="Times New Roman" w:hAnsi="Arial" w:cs="Arial"/>
                <w:b/>
                <w:bCs/>
                <w:color w:val="2F2B20" w:themeColor="text1"/>
                <w:sz w:val="16"/>
                <w:szCs w:val="16"/>
                <w:lang w:eastAsia="fr-FR"/>
              </w:rPr>
            </w:pPr>
            <w:r>
              <w:rPr>
                <w:rFonts w:ascii="Arial" w:eastAsia="Times New Roman" w:hAnsi="Arial" w:cs="Arial"/>
                <w:b/>
                <w:bCs/>
                <w:color w:val="2F2B20" w:themeColor="text1"/>
                <w:sz w:val="16"/>
                <w:szCs w:val="16"/>
                <w:lang w:eastAsia="fr-FR"/>
              </w:rPr>
              <w:t>(5</w:t>
            </w:r>
            <w:bookmarkStart w:id="0" w:name="_GoBack"/>
            <w:bookmarkEnd w:id="0"/>
            <w:r w:rsidR="005A434C">
              <w:rPr>
                <w:rFonts w:ascii="Arial" w:eastAsia="Times New Roman" w:hAnsi="Arial" w:cs="Arial"/>
                <w:b/>
                <w:bCs/>
                <w:color w:val="2F2B20" w:themeColor="text1"/>
                <w:sz w:val="16"/>
                <w:szCs w:val="16"/>
                <w:lang w:eastAsia="fr-FR"/>
              </w:rPr>
              <w:t xml:space="preserve">) </w:t>
            </w:r>
            <w:r w:rsidR="005A434C" w:rsidRPr="005A434C">
              <w:rPr>
                <w:rFonts w:ascii="Arial" w:eastAsia="Times New Roman" w:hAnsi="Arial" w:cs="Arial"/>
                <w:b/>
                <w:bCs/>
                <w:color w:val="2F2B20" w:themeColor="text1"/>
                <w:sz w:val="16"/>
                <w:szCs w:val="16"/>
                <w:lang w:eastAsia="fr-FR"/>
              </w:rPr>
              <w:t xml:space="preserve">SWAPS, FORWARDS ET AUTRES DERIVES SUR </w:t>
            </w:r>
            <w:r w:rsidR="005A434C">
              <w:rPr>
                <w:rFonts w:ascii="Arial" w:eastAsia="Times New Roman" w:hAnsi="Arial" w:cs="Arial"/>
                <w:b/>
                <w:bCs/>
                <w:color w:val="2F2B20" w:themeColor="text1"/>
                <w:sz w:val="16"/>
                <w:szCs w:val="16"/>
                <w:lang w:eastAsia="fr-FR"/>
              </w:rPr>
              <w:t>DEVISES</w:t>
            </w:r>
            <w:r w:rsidR="005A434C" w:rsidRPr="005A434C">
              <w:rPr>
                <w:rFonts w:ascii="Arial" w:eastAsia="Times New Roman" w:hAnsi="Arial" w:cs="Arial"/>
                <w:b/>
                <w:bCs/>
                <w:color w:val="2F2B20" w:themeColor="text1"/>
                <w:sz w:val="16"/>
                <w:szCs w:val="16"/>
                <w:lang w:eastAsia="fr-FR"/>
              </w:rPr>
              <w:t xml:space="preserve"> </w:t>
            </w:r>
          </w:p>
        </w:tc>
      </w:tr>
      <w:tr w:rsidR="005A434C" w:rsidRPr="00E617E0" w:rsidTr="00DB7937">
        <w:trPr>
          <w:trHeight w:val="870"/>
        </w:trPr>
        <w:tc>
          <w:tcPr>
            <w:tcW w:w="1038"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Indiquer si &lt; 1 ordre exécuté en moyenne par jour ouvrable de l’année précédente</w:t>
            </w:r>
          </w:p>
        </w:tc>
        <w:tc>
          <w:tcPr>
            <w:tcW w:w="3962" w:type="pct"/>
            <w:gridSpan w:val="5"/>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Oui</w:t>
            </w:r>
          </w:p>
        </w:tc>
      </w:tr>
      <w:tr w:rsidR="005A434C" w:rsidRPr="007475CA" w:rsidTr="00DB7937">
        <w:trPr>
          <w:trHeight w:val="915"/>
        </w:trPr>
        <w:tc>
          <w:tcPr>
            <w:tcW w:w="1038"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Cinq premiers courtiers par volumes de négociation (ordre décroissant)</w:t>
            </w:r>
          </w:p>
        </w:tc>
        <w:tc>
          <w:tcPr>
            <w:tcW w:w="1247"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volume total dans cette catégorie</w:t>
            </w:r>
          </w:p>
        </w:tc>
        <w:tc>
          <w:tcPr>
            <w:tcW w:w="1049" w:type="pct"/>
            <w:vAlign w:val="center"/>
            <w:hideMark/>
          </w:tcPr>
          <w:p w:rsidR="005A434C" w:rsidRPr="00E617E0" w:rsidRDefault="005A434C" w:rsidP="00DB7937">
            <w:pPr>
              <w:jc w:val="center"/>
              <w:rPr>
                <w:rFonts w:ascii="Arial" w:eastAsia="Times New Roman" w:hAnsi="Arial" w:cs="Arial"/>
                <w:b/>
                <w:bCs/>
                <w:color w:val="2F2B20" w:themeColor="text1"/>
                <w:sz w:val="16"/>
                <w:szCs w:val="16"/>
                <w:lang w:eastAsia="fr-FR"/>
              </w:rPr>
            </w:pPr>
            <w:r w:rsidRPr="00E617E0">
              <w:rPr>
                <w:rFonts w:ascii="Arial" w:eastAsia="Times New Roman" w:hAnsi="Arial" w:cs="Arial"/>
                <w:b/>
                <w:bCs/>
                <w:color w:val="2F2B20" w:themeColor="text1"/>
                <w:sz w:val="16"/>
                <w:szCs w:val="16"/>
                <w:lang w:eastAsia="fr-FR"/>
              </w:rPr>
              <w:t>Proportion du volume d’ordres exécutés en pourcentage du nombre total dans cette catégorie</w:t>
            </w:r>
          </w:p>
        </w:tc>
        <w:tc>
          <w:tcPr>
            <w:tcW w:w="555" w:type="pct"/>
            <w:vAlign w:val="center"/>
            <w:hideMark/>
          </w:tcPr>
          <w:p w:rsidR="005A434C" w:rsidRPr="007475CA" w:rsidRDefault="005A434C" w:rsidP="00DB7937">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passifs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(1)</w:t>
            </w:r>
          </w:p>
        </w:tc>
        <w:tc>
          <w:tcPr>
            <w:tcW w:w="555" w:type="pct"/>
            <w:vAlign w:val="center"/>
            <w:hideMark/>
          </w:tcPr>
          <w:p w:rsidR="005A434C" w:rsidRPr="007475CA" w:rsidRDefault="005A434C" w:rsidP="00DB7937">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agressifs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(2)</w:t>
            </w:r>
          </w:p>
        </w:tc>
        <w:tc>
          <w:tcPr>
            <w:tcW w:w="555" w:type="pct"/>
            <w:vAlign w:val="center"/>
            <w:hideMark/>
          </w:tcPr>
          <w:p w:rsidR="005A434C" w:rsidRPr="007475CA" w:rsidRDefault="005A434C" w:rsidP="00DB7937">
            <w:pPr>
              <w:jc w:val="center"/>
              <w:rPr>
                <w:rFonts w:ascii="Arial" w:eastAsia="Times New Roman" w:hAnsi="Arial" w:cs="Arial"/>
                <w:b/>
                <w:bCs/>
                <w:color w:val="2F2B20" w:themeColor="text1"/>
                <w:sz w:val="16"/>
                <w:szCs w:val="16"/>
                <w:lang w:eastAsia="fr-FR"/>
              </w:rPr>
            </w:pPr>
            <w:r w:rsidRPr="007475CA">
              <w:rPr>
                <w:rFonts w:ascii="Arial" w:eastAsia="Times New Roman" w:hAnsi="Arial" w:cs="Arial"/>
                <w:b/>
                <w:bCs/>
                <w:color w:val="2F2B20" w:themeColor="text1"/>
                <w:sz w:val="16"/>
                <w:szCs w:val="16"/>
                <w:lang w:eastAsia="fr-FR"/>
              </w:rPr>
              <w:t>Pourcentage d’ordres dirigés</w:t>
            </w:r>
            <w:r>
              <w:rPr>
                <w:rFonts w:ascii="Arial" w:eastAsia="Times New Roman" w:hAnsi="Arial" w:cs="Arial"/>
                <w:b/>
                <w:bCs/>
                <w:color w:val="2F2B20" w:themeColor="text1"/>
                <w:sz w:val="16"/>
                <w:szCs w:val="16"/>
                <w:lang w:eastAsia="fr-FR"/>
              </w:rPr>
              <w:t xml:space="preserve"> </w:t>
            </w:r>
            <w:r w:rsidRPr="00A644AE">
              <w:rPr>
                <w:rFonts w:ascii="Arial" w:eastAsia="Times New Roman" w:hAnsi="Arial" w:cs="Arial"/>
                <w:bCs/>
                <w:color w:val="2F2B20" w:themeColor="text1"/>
                <w:sz w:val="16"/>
                <w:szCs w:val="16"/>
                <w:lang w:eastAsia="fr-FR"/>
              </w:rPr>
              <w:t>(3)</w:t>
            </w:r>
          </w:p>
        </w:tc>
      </w:tr>
      <w:tr w:rsidR="005A434C" w:rsidRPr="00E617E0" w:rsidTr="00DB7937">
        <w:trPr>
          <w:trHeight w:val="420"/>
        </w:trPr>
        <w:tc>
          <w:tcPr>
            <w:tcW w:w="1038" w:type="pct"/>
            <w:vAlign w:val="center"/>
            <w:hideMark/>
          </w:tcPr>
          <w:p w:rsidR="005A434C" w:rsidRPr="00AF5358" w:rsidRDefault="005A434C" w:rsidP="00DB7937">
            <w:pPr>
              <w:jc w:val="center"/>
              <w:rPr>
                <w:rFonts w:ascii="Arial" w:eastAsia="Times New Roman" w:hAnsi="Arial" w:cs="Arial"/>
                <w:b/>
                <w:bCs/>
                <w:color w:val="2F2B20" w:themeColor="text1"/>
                <w:sz w:val="16"/>
                <w:szCs w:val="16"/>
                <w:lang w:eastAsia="fr-FR"/>
              </w:rPr>
            </w:pPr>
            <w:r w:rsidRPr="00AF5358">
              <w:rPr>
                <w:rFonts w:ascii="Arial" w:eastAsia="Times New Roman" w:hAnsi="Arial" w:cs="Arial"/>
                <w:b/>
                <w:bCs/>
                <w:color w:val="2F2B20" w:themeColor="text1"/>
                <w:sz w:val="16"/>
                <w:szCs w:val="16"/>
                <w:lang w:eastAsia="fr-FR"/>
              </w:rPr>
              <w:t xml:space="preserve">CACIB </w:t>
            </w:r>
          </w:p>
          <w:p w:rsidR="005A434C" w:rsidRPr="00AF5358" w:rsidRDefault="005A434C" w:rsidP="005A434C">
            <w:pPr>
              <w:jc w:val="center"/>
              <w:rPr>
                <w:rFonts w:ascii="Arial" w:eastAsia="Times New Roman" w:hAnsi="Arial" w:cs="Arial"/>
                <w:bCs/>
                <w:color w:val="2F2B20" w:themeColor="text1"/>
                <w:sz w:val="16"/>
                <w:szCs w:val="16"/>
                <w:lang w:eastAsia="fr-FR"/>
              </w:rPr>
            </w:pPr>
            <w:r w:rsidRPr="00AF5358">
              <w:rPr>
                <w:rFonts w:ascii="Arial" w:eastAsia="Times New Roman" w:hAnsi="Arial" w:cs="Arial"/>
                <w:bCs/>
                <w:color w:val="2F2B20" w:themeColor="text1"/>
                <w:sz w:val="16"/>
                <w:szCs w:val="16"/>
                <w:lang w:eastAsia="fr-FR"/>
              </w:rPr>
              <w:t>LEI 1VUV7VQFKUOQSJ21A208</w:t>
            </w:r>
          </w:p>
        </w:tc>
        <w:tc>
          <w:tcPr>
            <w:tcW w:w="1247"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1049"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sidRPr="00E617E0">
              <w:rPr>
                <w:rFonts w:ascii="Arial" w:eastAsia="Times New Roman" w:hAnsi="Arial" w:cs="Arial"/>
                <w:color w:val="2F2B20" w:themeColor="text1"/>
                <w:sz w:val="16"/>
                <w:szCs w:val="16"/>
                <w:lang w:eastAsia="fr-FR"/>
              </w:rPr>
              <w:t>100 %</w:t>
            </w:r>
          </w:p>
        </w:tc>
        <w:tc>
          <w:tcPr>
            <w:tcW w:w="555"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c>
          <w:tcPr>
            <w:tcW w:w="555"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c>
          <w:tcPr>
            <w:tcW w:w="555" w:type="pct"/>
            <w:vAlign w:val="center"/>
            <w:hideMark/>
          </w:tcPr>
          <w:p w:rsidR="005A434C" w:rsidRPr="00E617E0" w:rsidRDefault="005A434C" w:rsidP="00DB7937">
            <w:pPr>
              <w:jc w:val="center"/>
              <w:rPr>
                <w:rFonts w:ascii="Arial" w:eastAsia="Times New Roman" w:hAnsi="Arial" w:cs="Arial"/>
                <w:color w:val="2F2B20" w:themeColor="text1"/>
                <w:sz w:val="16"/>
                <w:szCs w:val="16"/>
                <w:lang w:eastAsia="fr-FR"/>
              </w:rPr>
            </w:pPr>
            <w:r>
              <w:rPr>
                <w:rFonts w:ascii="Arial" w:eastAsia="Times New Roman" w:hAnsi="Arial" w:cs="Arial"/>
                <w:color w:val="2F2B20" w:themeColor="text1"/>
                <w:sz w:val="16"/>
                <w:szCs w:val="16"/>
                <w:lang w:eastAsia="fr-FR"/>
              </w:rPr>
              <w:t>Non applicable</w:t>
            </w:r>
          </w:p>
        </w:tc>
      </w:tr>
    </w:tbl>
    <w:p w:rsidR="005A434C" w:rsidRPr="00A644AE" w:rsidRDefault="005A434C" w:rsidP="00A644AE">
      <w:pPr>
        <w:ind w:left="360"/>
        <w:jc w:val="both"/>
        <w:rPr>
          <w:rFonts w:ascii="Arial" w:hAnsi="Arial" w:cs="Arial"/>
          <w:b/>
          <w:color w:val="2F2B20" w:themeColor="text1"/>
          <w:sz w:val="18"/>
        </w:rPr>
      </w:pPr>
    </w:p>
    <w:p w:rsidR="00672F62" w:rsidRPr="00155B65" w:rsidRDefault="00A644AE" w:rsidP="00155B65">
      <w:pPr>
        <w:numPr>
          <w:ilvl w:val="0"/>
          <w:numId w:val="5"/>
        </w:numPr>
        <w:tabs>
          <w:tab w:val="num" w:pos="720"/>
        </w:tabs>
        <w:rPr>
          <w:rFonts w:ascii="Arial" w:hAnsi="Arial" w:cs="Arial"/>
          <w:sz w:val="16"/>
        </w:rPr>
      </w:pPr>
      <w:r w:rsidRPr="00155B65">
        <w:rPr>
          <w:rFonts w:ascii="Arial" w:hAnsi="Arial" w:cs="Arial"/>
          <w:iCs/>
          <w:sz w:val="16"/>
          <w:u w:val="single"/>
        </w:rPr>
        <w:t>Ordre passif :</w:t>
      </w:r>
      <w:r w:rsidRPr="00155B65">
        <w:rPr>
          <w:rFonts w:ascii="Arial" w:hAnsi="Arial" w:cs="Arial"/>
          <w:iCs/>
          <w:sz w:val="16"/>
        </w:rPr>
        <w:t xml:space="preserve"> </w:t>
      </w:r>
      <w:r w:rsidR="006A6AB6" w:rsidRPr="00155B65">
        <w:rPr>
          <w:rFonts w:ascii="Arial" w:hAnsi="Arial" w:cs="Arial"/>
          <w:iCs/>
          <w:sz w:val="16"/>
        </w:rPr>
        <w:t xml:space="preserve">ordre, inscrit dans le carnet d'ordres, qui a apporté de la liquidité. </w:t>
      </w:r>
      <w:r w:rsidR="006A6AB6" w:rsidRPr="00155B65">
        <w:rPr>
          <w:rFonts w:ascii="Arial" w:hAnsi="Arial" w:cs="Arial"/>
          <w:iCs/>
          <w:sz w:val="16"/>
        </w:rPr>
        <w:br/>
        <w:t xml:space="preserve">Exemple : ordre « à cours limité » attendant une éventuelle exécution. </w:t>
      </w:r>
    </w:p>
    <w:p w:rsidR="00672F62" w:rsidRPr="00155B65" w:rsidRDefault="006A6AB6" w:rsidP="00155B65">
      <w:pPr>
        <w:numPr>
          <w:ilvl w:val="0"/>
          <w:numId w:val="5"/>
        </w:numPr>
        <w:tabs>
          <w:tab w:val="num" w:pos="720"/>
        </w:tabs>
        <w:rPr>
          <w:rFonts w:ascii="Arial" w:hAnsi="Arial" w:cs="Arial"/>
          <w:sz w:val="16"/>
        </w:rPr>
      </w:pPr>
      <w:r w:rsidRPr="00155B65">
        <w:rPr>
          <w:rFonts w:ascii="Arial" w:hAnsi="Arial" w:cs="Arial"/>
          <w:iCs/>
          <w:sz w:val="16"/>
          <w:u w:val="single"/>
        </w:rPr>
        <w:t>Ordre agressif :</w:t>
      </w:r>
      <w:r w:rsidRPr="00155B65">
        <w:rPr>
          <w:rFonts w:ascii="Arial" w:hAnsi="Arial" w:cs="Arial"/>
          <w:iCs/>
          <w:sz w:val="16"/>
        </w:rPr>
        <w:t xml:space="preserve"> ordre, inscrit dans le carnet d'ordres, qui a absorbé de la liquidité.</w:t>
      </w:r>
      <w:r w:rsidRPr="00155B65">
        <w:rPr>
          <w:rFonts w:ascii="Arial" w:hAnsi="Arial" w:cs="Arial"/>
          <w:iCs/>
          <w:sz w:val="16"/>
        </w:rPr>
        <w:br/>
        <w:t>Exemple : ordre « au cours du marché » s’exécutant sans condition de limite de cours.</w:t>
      </w:r>
    </w:p>
    <w:p w:rsidR="00672F62" w:rsidRPr="00155B65" w:rsidRDefault="006A6AB6" w:rsidP="00155B65">
      <w:pPr>
        <w:numPr>
          <w:ilvl w:val="0"/>
          <w:numId w:val="5"/>
        </w:numPr>
        <w:tabs>
          <w:tab w:val="num" w:pos="720"/>
        </w:tabs>
        <w:rPr>
          <w:rFonts w:ascii="Arial" w:hAnsi="Arial" w:cs="Arial"/>
          <w:sz w:val="16"/>
        </w:rPr>
      </w:pPr>
      <w:r w:rsidRPr="00155B65">
        <w:rPr>
          <w:rFonts w:ascii="Arial" w:hAnsi="Arial" w:cs="Arial"/>
          <w:iCs/>
          <w:sz w:val="16"/>
          <w:u w:val="single"/>
        </w:rPr>
        <w:t>Ordre dirigé :</w:t>
      </w:r>
      <w:r w:rsidRPr="00155B65">
        <w:rPr>
          <w:rFonts w:ascii="Arial" w:hAnsi="Arial" w:cs="Arial"/>
          <w:iCs/>
          <w:sz w:val="16"/>
        </w:rPr>
        <w:t xml:space="preserve"> ordre pour lequel le client a spécifié par avance la plate-forme d'exécution</w:t>
      </w:r>
      <w:r w:rsidR="00155B65">
        <w:rPr>
          <w:rFonts w:ascii="Arial" w:hAnsi="Arial" w:cs="Arial"/>
          <w:iCs/>
          <w:sz w:val="16"/>
        </w:rPr>
        <w:t>.</w:t>
      </w:r>
    </w:p>
    <w:p w:rsidR="00A644AE" w:rsidRPr="00FB4C03" w:rsidRDefault="00A644AE" w:rsidP="007475CA">
      <w:pPr>
        <w:jc w:val="both"/>
        <w:rPr>
          <w:rFonts w:ascii="Arial" w:hAnsi="Arial" w:cs="Arial"/>
          <w:b/>
          <w:sz w:val="18"/>
        </w:rPr>
      </w:pPr>
    </w:p>
    <w:p w:rsidR="00FB4C03" w:rsidRDefault="00FB4C03" w:rsidP="00FB4C03">
      <w:pPr>
        <w:pStyle w:val="Paragraphedeliste"/>
        <w:numPr>
          <w:ilvl w:val="0"/>
          <w:numId w:val="2"/>
        </w:numPr>
        <w:jc w:val="both"/>
        <w:rPr>
          <w:rFonts w:ascii="Arial" w:hAnsi="Arial" w:cs="Arial"/>
          <w:b/>
          <w:sz w:val="18"/>
        </w:rPr>
      </w:pPr>
      <w:r w:rsidRPr="00FB4C03">
        <w:rPr>
          <w:rFonts w:ascii="Arial" w:hAnsi="Arial" w:cs="Arial"/>
          <w:b/>
          <w:sz w:val="18"/>
        </w:rPr>
        <w:t>Résumé annuel de l’analyse de la qualité d’exécution des ordres clients</w:t>
      </w:r>
    </w:p>
    <w:p w:rsidR="00507676" w:rsidRPr="00507676" w:rsidRDefault="00507676" w:rsidP="007475CA">
      <w:pPr>
        <w:shd w:val="clear" w:color="auto" w:fill="6C7D75" w:themeFill="accent4" w:themeFillShade="BF"/>
        <w:jc w:val="both"/>
        <w:rPr>
          <w:rFonts w:ascii="Arial" w:hAnsi="Arial" w:cs="Arial"/>
          <w:b/>
          <w:color w:val="FFFFFF" w:themeColor="background1"/>
          <w:sz w:val="18"/>
        </w:rPr>
      </w:pPr>
      <w:r w:rsidRPr="00507676">
        <w:rPr>
          <w:rFonts w:ascii="Arial" w:hAnsi="Arial" w:cs="Arial"/>
          <w:b/>
          <w:color w:val="FFFFFF" w:themeColor="background1"/>
          <w:sz w:val="18"/>
        </w:rPr>
        <w:t>Critères d’évaluation de la qualité d’exécution</w:t>
      </w:r>
    </w:p>
    <w:p w:rsidR="00507676" w:rsidRPr="00507676" w:rsidRDefault="00507676" w:rsidP="007475CA">
      <w:pPr>
        <w:jc w:val="both"/>
        <w:rPr>
          <w:rFonts w:ascii="Arial" w:hAnsi="Arial" w:cs="Arial"/>
          <w:sz w:val="18"/>
        </w:rPr>
      </w:pPr>
      <w:r w:rsidRPr="00507676">
        <w:rPr>
          <w:rFonts w:ascii="Arial" w:hAnsi="Arial" w:cs="Arial"/>
          <w:sz w:val="18"/>
        </w:rPr>
        <w:t xml:space="preserve">L’importance relative accordée au prix, aux coûts, à la rapidité et à la probabilité de l’exécution est précisée par </w:t>
      </w:r>
      <w:hyperlink r:id="rId7" w:history="1">
        <w:r w:rsidRPr="00F91C80">
          <w:rPr>
            <w:rStyle w:val="Lienhypertexte"/>
            <w:rFonts w:ascii="Arial" w:hAnsi="Arial" w:cs="Arial"/>
            <w:sz w:val="18"/>
          </w:rPr>
          <w:t>la politique de meilleure sélection</w:t>
        </w:r>
      </w:hyperlink>
      <w:r w:rsidR="00F91C80">
        <w:rPr>
          <w:rFonts w:ascii="Arial" w:hAnsi="Arial" w:cs="Arial"/>
          <w:sz w:val="18"/>
        </w:rPr>
        <w:t>.</w:t>
      </w:r>
    </w:p>
    <w:p w:rsidR="00507676" w:rsidRPr="00507676" w:rsidRDefault="00507676" w:rsidP="007475CA">
      <w:pPr>
        <w:jc w:val="both"/>
        <w:rPr>
          <w:rFonts w:ascii="Arial" w:hAnsi="Arial" w:cs="Arial"/>
          <w:sz w:val="18"/>
        </w:rPr>
      </w:pPr>
      <w:r w:rsidRPr="00507676">
        <w:rPr>
          <w:rFonts w:ascii="Arial" w:hAnsi="Arial" w:cs="Arial"/>
          <w:sz w:val="18"/>
        </w:rPr>
        <w:t>La Caisse régionale agissant en tant que trans</w:t>
      </w:r>
      <w:r w:rsidR="000923E0">
        <w:rPr>
          <w:rFonts w:ascii="Arial" w:hAnsi="Arial" w:cs="Arial"/>
          <w:sz w:val="18"/>
        </w:rPr>
        <w:t>metteur d’ordres a sélectionné deux</w:t>
      </w:r>
      <w:r w:rsidRPr="00507676">
        <w:rPr>
          <w:rFonts w:ascii="Arial" w:hAnsi="Arial" w:cs="Arial"/>
          <w:sz w:val="18"/>
        </w:rPr>
        <w:t xml:space="preserve"> intermédiaires pour la qualité de leur service d’exécution : CA Titres, pour les ordres sur valeurs mobilières, et </w:t>
      </w:r>
      <w:proofErr w:type="spellStart"/>
      <w:r w:rsidRPr="00507676">
        <w:rPr>
          <w:rFonts w:ascii="Arial" w:hAnsi="Arial" w:cs="Arial"/>
          <w:sz w:val="18"/>
        </w:rPr>
        <w:t>Credit</w:t>
      </w:r>
      <w:proofErr w:type="spellEnd"/>
      <w:r w:rsidRPr="00507676">
        <w:rPr>
          <w:rFonts w:ascii="Arial" w:hAnsi="Arial" w:cs="Arial"/>
          <w:sz w:val="18"/>
        </w:rPr>
        <w:t xml:space="preserve"> Agricole Corporate and Investment Bank (CACIB), pour les opérations de marché.</w:t>
      </w:r>
    </w:p>
    <w:p w:rsidR="00507676" w:rsidRDefault="00507676" w:rsidP="007475CA">
      <w:pPr>
        <w:jc w:val="both"/>
        <w:rPr>
          <w:rFonts w:ascii="Arial" w:hAnsi="Arial" w:cs="Arial"/>
          <w:sz w:val="18"/>
        </w:rPr>
      </w:pPr>
      <w:r w:rsidRPr="00507676">
        <w:rPr>
          <w:rFonts w:ascii="Arial" w:hAnsi="Arial" w:cs="Arial"/>
          <w:sz w:val="18"/>
        </w:rPr>
        <w:t>La politique d’exécution de ces 2 intermédiaires fait l’objet d’une évaluation régulière par la Caisse régionale sur les critères suivants : accès aux différentes plateformes d’exécution, qualité d’exécution (fiabilité, rapidité d’exécution, soin et suivi des ordres) et coût.</w:t>
      </w:r>
    </w:p>
    <w:p w:rsidR="00507676" w:rsidRPr="00507676" w:rsidRDefault="00507676" w:rsidP="007475CA">
      <w:pPr>
        <w:shd w:val="clear" w:color="auto" w:fill="6C7D75" w:themeFill="accent4" w:themeFillShade="BF"/>
        <w:jc w:val="both"/>
        <w:rPr>
          <w:rFonts w:ascii="Arial" w:hAnsi="Arial" w:cs="Arial"/>
          <w:b/>
          <w:color w:val="FFFFFF" w:themeColor="background1"/>
          <w:sz w:val="18"/>
        </w:rPr>
      </w:pPr>
      <w:r w:rsidRPr="00507676">
        <w:rPr>
          <w:rFonts w:ascii="Arial" w:hAnsi="Arial" w:cs="Arial"/>
          <w:b/>
          <w:color w:val="FFFFFF" w:themeColor="background1"/>
          <w:sz w:val="18"/>
        </w:rPr>
        <w:t xml:space="preserve">Liens, participation, conflits d'intérêts avec les plateformes utilisées pour l’exécution des ordres </w:t>
      </w:r>
    </w:p>
    <w:p w:rsidR="00507676" w:rsidRPr="00507676" w:rsidRDefault="00507676" w:rsidP="007475CA">
      <w:pPr>
        <w:jc w:val="both"/>
        <w:rPr>
          <w:rFonts w:ascii="Arial" w:hAnsi="Arial" w:cs="Arial"/>
          <w:color w:val="6C7D75" w:themeColor="accent4" w:themeShade="BF"/>
          <w:sz w:val="18"/>
        </w:rPr>
      </w:pPr>
      <w:r w:rsidRPr="00507676">
        <w:rPr>
          <w:rFonts w:ascii="Arial" w:hAnsi="Arial" w:cs="Arial"/>
          <w:b/>
          <w:bCs/>
          <w:color w:val="6C7D75" w:themeColor="accent4" w:themeShade="BF"/>
          <w:sz w:val="18"/>
        </w:rPr>
        <w:t>Valeurs mobilières :</w:t>
      </w:r>
    </w:p>
    <w:p w:rsidR="00507676" w:rsidRPr="00507676" w:rsidRDefault="00507676" w:rsidP="007475CA">
      <w:pPr>
        <w:jc w:val="both"/>
        <w:rPr>
          <w:rFonts w:ascii="Arial" w:hAnsi="Arial" w:cs="Arial"/>
          <w:sz w:val="18"/>
        </w:rPr>
      </w:pPr>
      <w:r w:rsidRPr="00507676">
        <w:rPr>
          <w:rFonts w:ascii="Arial" w:hAnsi="Arial" w:cs="Arial"/>
          <w:sz w:val="18"/>
        </w:rPr>
        <w:t>Il n’existe aucun lien, aucune participation significative ou conflit d’intérêt entre la Caisse régionale</w:t>
      </w:r>
      <w:r w:rsidR="00F91C80">
        <w:rPr>
          <w:rFonts w:ascii="Arial" w:hAnsi="Arial" w:cs="Arial"/>
          <w:sz w:val="18"/>
        </w:rPr>
        <w:t xml:space="preserve"> et les plateformes d’exécution</w:t>
      </w:r>
      <w:r w:rsidRPr="00507676">
        <w:rPr>
          <w:rFonts w:ascii="Arial" w:hAnsi="Arial" w:cs="Arial"/>
          <w:sz w:val="18"/>
        </w:rPr>
        <w:t xml:space="preserve"> utilisées par CA Titres. </w:t>
      </w:r>
    </w:p>
    <w:p w:rsidR="00507676" w:rsidRPr="00507676" w:rsidRDefault="00507676" w:rsidP="007475CA">
      <w:pPr>
        <w:jc w:val="both"/>
        <w:rPr>
          <w:rFonts w:ascii="Arial" w:hAnsi="Arial" w:cs="Arial"/>
          <w:color w:val="6C7D75" w:themeColor="accent4" w:themeShade="BF"/>
          <w:sz w:val="18"/>
        </w:rPr>
      </w:pPr>
      <w:r w:rsidRPr="00507676">
        <w:rPr>
          <w:rFonts w:ascii="Arial" w:hAnsi="Arial" w:cs="Arial"/>
          <w:b/>
          <w:bCs/>
          <w:color w:val="6C7D75" w:themeColor="accent4" w:themeShade="BF"/>
          <w:sz w:val="18"/>
        </w:rPr>
        <w:t>Opérations de marché</w:t>
      </w:r>
    </w:p>
    <w:p w:rsidR="00507676" w:rsidRPr="00507676" w:rsidRDefault="00507676" w:rsidP="007475CA">
      <w:pPr>
        <w:jc w:val="both"/>
        <w:rPr>
          <w:rFonts w:ascii="Arial" w:hAnsi="Arial" w:cs="Arial"/>
          <w:sz w:val="18"/>
        </w:rPr>
      </w:pPr>
      <w:r w:rsidRPr="00507676">
        <w:rPr>
          <w:rFonts w:ascii="Arial" w:hAnsi="Arial" w:cs="Arial"/>
          <w:sz w:val="18"/>
        </w:rPr>
        <w:t xml:space="preserve">Les ordres sont transmis à Crédit Agricole Corporate and Investment Bank (CACIB), société détenue à 100% par Crédit Agricole SA. </w:t>
      </w:r>
    </w:p>
    <w:p w:rsidR="00507676" w:rsidRPr="00507676" w:rsidRDefault="00507676" w:rsidP="007475CA">
      <w:pPr>
        <w:shd w:val="clear" w:color="auto" w:fill="6C7D75" w:themeFill="accent4" w:themeFillShade="BF"/>
        <w:jc w:val="both"/>
        <w:rPr>
          <w:rFonts w:ascii="Arial" w:hAnsi="Arial" w:cs="Arial"/>
          <w:b/>
          <w:color w:val="FFFFFF" w:themeColor="background1"/>
          <w:sz w:val="18"/>
        </w:rPr>
      </w:pPr>
      <w:r w:rsidRPr="00507676">
        <w:rPr>
          <w:rFonts w:ascii="Arial" w:hAnsi="Arial" w:cs="Arial"/>
          <w:b/>
          <w:color w:val="FFFFFF" w:themeColor="background1"/>
          <w:sz w:val="18"/>
        </w:rPr>
        <w:t>Accords avec les plateformes d’exécution des ordres concernant des paiements, rabais, remises ou avantages</w:t>
      </w:r>
    </w:p>
    <w:p w:rsidR="00507676" w:rsidRPr="00507676" w:rsidRDefault="00507676" w:rsidP="007475CA">
      <w:pPr>
        <w:jc w:val="both"/>
        <w:rPr>
          <w:rFonts w:ascii="Arial" w:hAnsi="Arial" w:cs="Arial"/>
          <w:color w:val="6C7D75" w:themeColor="accent4" w:themeShade="BF"/>
          <w:sz w:val="18"/>
        </w:rPr>
      </w:pPr>
      <w:r w:rsidRPr="00507676">
        <w:rPr>
          <w:rFonts w:ascii="Arial" w:hAnsi="Arial" w:cs="Arial"/>
          <w:b/>
          <w:bCs/>
          <w:color w:val="6C7D75" w:themeColor="accent4" w:themeShade="BF"/>
          <w:sz w:val="18"/>
        </w:rPr>
        <w:t>Valeurs mobilières :</w:t>
      </w:r>
    </w:p>
    <w:p w:rsidR="00F91C80" w:rsidRDefault="00507676" w:rsidP="007475CA">
      <w:pPr>
        <w:jc w:val="both"/>
        <w:rPr>
          <w:rFonts w:ascii="Arial" w:hAnsi="Arial" w:cs="Arial"/>
          <w:sz w:val="18"/>
        </w:rPr>
      </w:pPr>
      <w:r w:rsidRPr="00507676">
        <w:rPr>
          <w:rFonts w:ascii="Arial" w:hAnsi="Arial" w:cs="Arial"/>
          <w:sz w:val="18"/>
        </w:rPr>
        <w:t xml:space="preserve">Il n’existe aucun accord de ce type entre la Caisse régionale et les plateformes d’exécution utilisées par CA Titres. </w:t>
      </w:r>
    </w:p>
    <w:p w:rsidR="00507676" w:rsidRPr="00507676" w:rsidRDefault="00507676" w:rsidP="007475CA">
      <w:pPr>
        <w:jc w:val="both"/>
        <w:rPr>
          <w:rFonts w:ascii="Arial" w:hAnsi="Arial" w:cs="Arial"/>
          <w:color w:val="6C7D75" w:themeColor="accent4" w:themeShade="BF"/>
          <w:sz w:val="18"/>
        </w:rPr>
      </w:pPr>
      <w:r w:rsidRPr="00507676">
        <w:rPr>
          <w:rFonts w:ascii="Arial" w:hAnsi="Arial" w:cs="Arial"/>
          <w:b/>
          <w:bCs/>
          <w:color w:val="6C7D75" w:themeColor="accent4" w:themeShade="BF"/>
          <w:sz w:val="18"/>
        </w:rPr>
        <w:t>Opérations de marché</w:t>
      </w:r>
      <w:r w:rsidR="00F91C80">
        <w:rPr>
          <w:rFonts w:ascii="Arial" w:hAnsi="Arial" w:cs="Arial"/>
          <w:b/>
          <w:bCs/>
          <w:color w:val="6C7D75" w:themeColor="accent4" w:themeShade="BF"/>
          <w:sz w:val="18"/>
        </w:rPr>
        <w:t> :</w:t>
      </w:r>
    </w:p>
    <w:p w:rsidR="00507676" w:rsidRPr="00507676" w:rsidRDefault="005A434C" w:rsidP="007475CA">
      <w:pPr>
        <w:jc w:val="both"/>
        <w:rPr>
          <w:rFonts w:ascii="Arial" w:hAnsi="Arial" w:cs="Arial"/>
          <w:sz w:val="18"/>
        </w:rPr>
      </w:pPr>
      <w:r w:rsidRPr="00507676">
        <w:rPr>
          <w:rFonts w:ascii="Arial" w:hAnsi="Arial" w:cs="Arial"/>
          <w:sz w:val="18"/>
        </w:rPr>
        <w:t>Il n’existe aucun accord de ce type entre la Caisse régionale et les plateformes d’exécution utilisées par CA</w:t>
      </w:r>
      <w:r>
        <w:rPr>
          <w:rFonts w:ascii="Arial" w:hAnsi="Arial" w:cs="Arial"/>
          <w:sz w:val="18"/>
        </w:rPr>
        <w:t>CIB.</w:t>
      </w:r>
    </w:p>
    <w:p w:rsidR="00507676" w:rsidRPr="00507676" w:rsidRDefault="00507676" w:rsidP="007475CA">
      <w:pPr>
        <w:shd w:val="clear" w:color="auto" w:fill="6C7D75" w:themeFill="accent4" w:themeFillShade="BF"/>
        <w:jc w:val="both"/>
        <w:rPr>
          <w:rFonts w:ascii="Arial" w:hAnsi="Arial" w:cs="Arial"/>
          <w:b/>
          <w:color w:val="FFFFFF" w:themeColor="background1"/>
          <w:sz w:val="18"/>
        </w:rPr>
      </w:pPr>
      <w:r w:rsidRPr="00507676">
        <w:rPr>
          <w:rFonts w:ascii="Arial" w:hAnsi="Arial" w:cs="Arial"/>
          <w:b/>
          <w:color w:val="FFFFFF" w:themeColor="background1"/>
          <w:sz w:val="18"/>
        </w:rPr>
        <w:t>Facteurs ayant conduit à modifier la liste des plates-formes d'exécution mentionnée dans la politique d’exécution</w:t>
      </w:r>
    </w:p>
    <w:p w:rsidR="00507676" w:rsidRPr="00507676" w:rsidRDefault="00507676" w:rsidP="007475CA">
      <w:pPr>
        <w:jc w:val="both"/>
        <w:rPr>
          <w:rFonts w:ascii="Arial" w:hAnsi="Arial" w:cs="Arial"/>
          <w:sz w:val="18"/>
        </w:rPr>
      </w:pPr>
      <w:r w:rsidRPr="00507676">
        <w:rPr>
          <w:rFonts w:ascii="Arial" w:hAnsi="Arial" w:cs="Arial"/>
          <w:sz w:val="18"/>
        </w:rPr>
        <w:t xml:space="preserve">Néant. </w:t>
      </w:r>
    </w:p>
    <w:p w:rsidR="00507676" w:rsidRPr="00507676" w:rsidRDefault="00507676" w:rsidP="007475CA">
      <w:pPr>
        <w:shd w:val="clear" w:color="auto" w:fill="6C7D75" w:themeFill="accent4" w:themeFillShade="BF"/>
        <w:jc w:val="both"/>
        <w:rPr>
          <w:rFonts w:ascii="Arial" w:hAnsi="Arial" w:cs="Arial"/>
          <w:b/>
          <w:color w:val="FFFFFF" w:themeColor="background1"/>
          <w:sz w:val="18"/>
        </w:rPr>
      </w:pPr>
      <w:r w:rsidRPr="00507676">
        <w:rPr>
          <w:rFonts w:ascii="Arial" w:hAnsi="Arial" w:cs="Arial"/>
          <w:b/>
          <w:color w:val="FFFFFF" w:themeColor="background1"/>
          <w:sz w:val="18"/>
        </w:rPr>
        <w:t>Incidence de la catégorie de client sur les modalités d’exécution des ordres</w:t>
      </w:r>
    </w:p>
    <w:p w:rsidR="00507676" w:rsidRPr="00507676" w:rsidRDefault="00507676" w:rsidP="007475CA">
      <w:pPr>
        <w:jc w:val="both"/>
        <w:rPr>
          <w:rFonts w:ascii="Arial" w:hAnsi="Arial" w:cs="Arial"/>
          <w:sz w:val="18"/>
        </w:rPr>
      </w:pPr>
      <w:r w:rsidRPr="00507676">
        <w:rPr>
          <w:rFonts w:ascii="Arial" w:hAnsi="Arial" w:cs="Arial"/>
          <w:sz w:val="18"/>
        </w:rPr>
        <w:t xml:space="preserve">Néant. </w:t>
      </w:r>
    </w:p>
    <w:p w:rsidR="00507676" w:rsidRPr="00507676" w:rsidRDefault="00507676" w:rsidP="007475CA">
      <w:pPr>
        <w:shd w:val="clear" w:color="auto" w:fill="6C7D75" w:themeFill="accent4" w:themeFillShade="BF"/>
        <w:jc w:val="both"/>
        <w:rPr>
          <w:rFonts w:ascii="Arial" w:hAnsi="Arial" w:cs="Arial"/>
          <w:b/>
          <w:color w:val="FFFFFF" w:themeColor="background1"/>
          <w:sz w:val="18"/>
        </w:rPr>
      </w:pPr>
      <w:r w:rsidRPr="00507676">
        <w:rPr>
          <w:rFonts w:ascii="Arial" w:hAnsi="Arial" w:cs="Arial"/>
          <w:b/>
          <w:color w:val="FFFFFF" w:themeColor="background1"/>
          <w:sz w:val="18"/>
        </w:rPr>
        <w:lastRenderedPageBreak/>
        <w:t>Autres critères privilégiés par rapport au prix et aux coûts immédiats lors de l’exécution des ordres de clients non professionnels</w:t>
      </w:r>
    </w:p>
    <w:p w:rsidR="00507676" w:rsidRDefault="00507676" w:rsidP="007475CA">
      <w:pPr>
        <w:jc w:val="both"/>
        <w:rPr>
          <w:rFonts w:ascii="Arial" w:hAnsi="Arial" w:cs="Arial"/>
          <w:sz w:val="18"/>
        </w:rPr>
      </w:pPr>
      <w:r w:rsidRPr="00507676">
        <w:rPr>
          <w:rFonts w:ascii="Arial" w:hAnsi="Arial" w:cs="Arial"/>
          <w:sz w:val="18"/>
        </w:rPr>
        <w:t xml:space="preserve">Néant. </w:t>
      </w:r>
    </w:p>
    <w:p w:rsidR="00507676" w:rsidRPr="00507676" w:rsidRDefault="00507676" w:rsidP="007475CA">
      <w:pPr>
        <w:shd w:val="clear" w:color="auto" w:fill="6C7D75" w:themeFill="accent4" w:themeFillShade="BF"/>
        <w:jc w:val="both"/>
        <w:rPr>
          <w:rFonts w:ascii="Arial" w:hAnsi="Arial" w:cs="Arial"/>
          <w:b/>
          <w:color w:val="FFFFFF" w:themeColor="background1"/>
          <w:sz w:val="18"/>
        </w:rPr>
      </w:pPr>
      <w:r w:rsidRPr="00507676">
        <w:rPr>
          <w:rFonts w:ascii="Arial" w:hAnsi="Arial" w:cs="Arial"/>
          <w:b/>
          <w:color w:val="FFFFFF" w:themeColor="background1"/>
          <w:sz w:val="18"/>
        </w:rPr>
        <w:t xml:space="preserve">Utilisation des données ou des outils en rapport avec la qualité d'exécution, fournis par les plateformes d’exécution conformément au RD (UE) 2017/575 </w:t>
      </w:r>
    </w:p>
    <w:p w:rsidR="00507676" w:rsidRDefault="00507676" w:rsidP="007475CA">
      <w:pPr>
        <w:jc w:val="both"/>
        <w:rPr>
          <w:rFonts w:ascii="Arial" w:hAnsi="Arial" w:cs="Arial"/>
          <w:sz w:val="18"/>
        </w:rPr>
      </w:pPr>
      <w:r w:rsidRPr="00507676">
        <w:rPr>
          <w:rFonts w:ascii="Arial" w:hAnsi="Arial" w:cs="Arial"/>
          <w:sz w:val="18"/>
        </w:rPr>
        <w:t xml:space="preserve">Néant. </w:t>
      </w:r>
    </w:p>
    <w:p w:rsidR="00507676" w:rsidRPr="00507676" w:rsidRDefault="00507676" w:rsidP="007475CA">
      <w:pPr>
        <w:shd w:val="clear" w:color="auto" w:fill="6C7D75" w:themeFill="accent4" w:themeFillShade="BF"/>
        <w:jc w:val="both"/>
        <w:rPr>
          <w:rFonts w:ascii="Arial" w:hAnsi="Arial" w:cs="Arial"/>
          <w:b/>
          <w:color w:val="FFFFFF" w:themeColor="background1"/>
          <w:sz w:val="18"/>
        </w:rPr>
      </w:pPr>
      <w:r w:rsidRPr="00507676">
        <w:rPr>
          <w:rFonts w:ascii="Arial" w:hAnsi="Arial" w:cs="Arial"/>
          <w:b/>
          <w:color w:val="FFFFFF" w:themeColor="background1"/>
          <w:sz w:val="18"/>
        </w:rPr>
        <w:t>Utilisation des éléments provenant d’un fournisseur de système consolidé de publication (CTP)</w:t>
      </w:r>
    </w:p>
    <w:p w:rsidR="00507676" w:rsidRPr="00507676" w:rsidRDefault="00507676" w:rsidP="007475CA">
      <w:pPr>
        <w:jc w:val="both"/>
        <w:rPr>
          <w:rFonts w:ascii="Arial" w:hAnsi="Arial" w:cs="Arial"/>
          <w:sz w:val="18"/>
        </w:rPr>
      </w:pPr>
      <w:r>
        <w:rPr>
          <w:rFonts w:ascii="Arial" w:hAnsi="Arial" w:cs="Arial"/>
          <w:sz w:val="18"/>
        </w:rPr>
        <w:t>Néant.</w:t>
      </w:r>
    </w:p>
    <w:sectPr w:rsidR="00507676" w:rsidRPr="00507676" w:rsidSect="00507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423"/>
    <w:multiLevelType w:val="hybridMultilevel"/>
    <w:tmpl w:val="C414DAB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C97D79"/>
    <w:multiLevelType w:val="hybridMultilevel"/>
    <w:tmpl w:val="BC7EBB4E"/>
    <w:lvl w:ilvl="0" w:tplc="8B141F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1A3516"/>
    <w:multiLevelType w:val="hybridMultilevel"/>
    <w:tmpl w:val="806E9128"/>
    <w:lvl w:ilvl="0" w:tplc="12B4DB8C">
      <w:start w:val="1"/>
      <w:numFmt w:val="lowerRoman"/>
      <w:lvlText w:val="%1."/>
      <w:lvlJc w:val="right"/>
      <w:pPr>
        <w:tabs>
          <w:tab w:val="num" w:pos="720"/>
        </w:tabs>
        <w:ind w:left="720" w:hanging="360"/>
      </w:pPr>
    </w:lvl>
    <w:lvl w:ilvl="1" w:tplc="1F7C2908">
      <w:start w:val="1"/>
      <w:numFmt w:val="lowerRoman"/>
      <w:lvlText w:val="%2."/>
      <w:lvlJc w:val="right"/>
      <w:pPr>
        <w:tabs>
          <w:tab w:val="num" w:pos="1440"/>
        </w:tabs>
        <w:ind w:left="1440" w:hanging="360"/>
      </w:pPr>
    </w:lvl>
    <w:lvl w:ilvl="2" w:tplc="6BCCF734" w:tentative="1">
      <w:start w:val="1"/>
      <w:numFmt w:val="lowerRoman"/>
      <w:lvlText w:val="%3."/>
      <w:lvlJc w:val="right"/>
      <w:pPr>
        <w:tabs>
          <w:tab w:val="num" w:pos="2160"/>
        </w:tabs>
        <w:ind w:left="2160" w:hanging="360"/>
      </w:pPr>
    </w:lvl>
    <w:lvl w:ilvl="3" w:tplc="2CA05B42" w:tentative="1">
      <w:start w:val="1"/>
      <w:numFmt w:val="lowerRoman"/>
      <w:lvlText w:val="%4."/>
      <w:lvlJc w:val="right"/>
      <w:pPr>
        <w:tabs>
          <w:tab w:val="num" w:pos="2880"/>
        </w:tabs>
        <w:ind w:left="2880" w:hanging="360"/>
      </w:pPr>
    </w:lvl>
    <w:lvl w:ilvl="4" w:tplc="4FD89434" w:tentative="1">
      <w:start w:val="1"/>
      <w:numFmt w:val="lowerRoman"/>
      <w:lvlText w:val="%5."/>
      <w:lvlJc w:val="right"/>
      <w:pPr>
        <w:tabs>
          <w:tab w:val="num" w:pos="3600"/>
        </w:tabs>
        <w:ind w:left="3600" w:hanging="360"/>
      </w:pPr>
    </w:lvl>
    <w:lvl w:ilvl="5" w:tplc="08224E92" w:tentative="1">
      <w:start w:val="1"/>
      <w:numFmt w:val="lowerRoman"/>
      <w:lvlText w:val="%6."/>
      <w:lvlJc w:val="right"/>
      <w:pPr>
        <w:tabs>
          <w:tab w:val="num" w:pos="4320"/>
        </w:tabs>
        <w:ind w:left="4320" w:hanging="360"/>
      </w:pPr>
    </w:lvl>
    <w:lvl w:ilvl="6" w:tplc="B9348306" w:tentative="1">
      <w:start w:val="1"/>
      <w:numFmt w:val="lowerRoman"/>
      <w:lvlText w:val="%7."/>
      <w:lvlJc w:val="right"/>
      <w:pPr>
        <w:tabs>
          <w:tab w:val="num" w:pos="5040"/>
        </w:tabs>
        <w:ind w:left="5040" w:hanging="360"/>
      </w:pPr>
    </w:lvl>
    <w:lvl w:ilvl="7" w:tplc="23A26F24" w:tentative="1">
      <w:start w:val="1"/>
      <w:numFmt w:val="lowerRoman"/>
      <w:lvlText w:val="%8."/>
      <w:lvlJc w:val="right"/>
      <w:pPr>
        <w:tabs>
          <w:tab w:val="num" w:pos="5760"/>
        </w:tabs>
        <w:ind w:left="5760" w:hanging="360"/>
      </w:pPr>
    </w:lvl>
    <w:lvl w:ilvl="8" w:tplc="571AF8AC" w:tentative="1">
      <w:start w:val="1"/>
      <w:numFmt w:val="lowerRoman"/>
      <w:lvlText w:val="%9."/>
      <w:lvlJc w:val="right"/>
      <w:pPr>
        <w:tabs>
          <w:tab w:val="num" w:pos="6480"/>
        </w:tabs>
        <w:ind w:left="6480" w:hanging="360"/>
      </w:pPr>
    </w:lvl>
  </w:abstractNum>
  <w:abstractNum w:abstractNumId="3">
    <w:nsid w:val="415063E9"/>
    <w:multiLevelType w:val="hybridMultilevel"/>
    <w:tmpl w:val="C414DAB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89440A"/>
    <w:multiLevelType w:val="hybridMultilevel"/>
    <w:tmpl w:val="BDA4D3C6"/>
    <w:lvl w:ilvl="0" w:tplc="600AF10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72C37CBC"/>
    <w:multiLevelType w:val="hybridMultilevel"/>
    <w:tmpl w:val="092C365E"/>
    <w:lvl w:ilvl="0" w:tplc="1C0080B2">
      <w:start w:val="1"/>
      <w:numFmt w:val="decimal"/>
      <w:lvlText w:val="(%1)"/>
      <w:lvlJc w:val="left"/>
      <w:pPr>
        <w:tabs>
          <w:tab w:val="num" w:pos="360"/>
        </w:tabs>
        <w:ind w:left="360" w:hanging="360"/>
      </w:pPr>
    </w:lvl>
    <w:lvl w:ilvl="1" w:tplc="A8AEB474" w:tentative="1">
      <w:start w:val="1"/>
      <w:numFmt w:val="decimal"/>
      <w:lvlText w:val="(%2)"/>
      <w:lvlJc w:val="left"/>
      <w:pPr>
        <w:tabs>
          <w:tab w:val="num" w:pos="1080"/>
        </w:tabs>
        <w:ind w:left="1080" w:hanging="360"/>
      </w:pPr>
    </w:lvl>
    <w:lvl w:ilvl="2" w:tplc="61EE3FAE" w:tentative="1">
      <w:start w:val="1"/>
      <w:numFmt w:val="decimal"/>
      <w:lvlText w:val="(%3)"/>
      <w:lvlJc w:val="left"/>
      <w:pPr>
        <w:tabs>
          <w:tab w:val="num" w:pos="1800"/>
        </w:tabs>
        <w:ind w:left="1800" w:hanging="360"/>
      </w:pPr>
    </w:lvl>
    <w:lvl w:ilvl="3" w:tplc="72861D42" w:tentative="1">
      <w:start w:val="1"/>
      <w:numFmt w:val="decimal"/>
      <w:lvlText w:val="(%4)"/>
      <w:lvlJc w:val="left"/>
      <w:pPr>
        <w:tabs>
          <w:tab w:val="num" w:pos="2520"/>
        </w:tabs>
        <w:ind w:left="2520" w:hanging="360"/>
      </w:pPr>
    </w:lvl>
    <w:lvl w:ilvl="4" w:tplc="AC1AF1A4" w:tentative="1">
      <w:start w:val="1"/>
      <w:numFmt w:val="decimal"/>
      <w:lvlText w:val="(%5)"/>
      <w:lvlJc w:val="left"/>
      <w:pPr>
        <w:tabs>
          <w:tab w:val="num" w:pos="3240"/>
        </w:tabs>
        <w:ind w:left="3240" w:hanging="360"/>
      </w:pPr>
    </w:lvl>
    <w:lvl w:ilvl="5" w:tplc="B1B2AD60" w:tentative="1">
      <w:start w:val="1"/>
      <w:numFmt w:val="decimal"/>
      <w:lvlText w:val="(%6)"/>
      <w:lvlJc w:val="left"/>
      <w:pPr>
        <w:tabs>
          <w:tab w:val="num" w:pos="3960"/>
        </w:tabs>
        <w:ind w:left="3960" w:hanging="360"/>
      </w:pPr>
    </w:lvl>
    <w:lvl w:ilvl="6" w:tplc="B0A09EDE" w:tentative="1">
      <w:start w:val="1"/>
      <w:numFmt w:val="decimal"/>
      <w:lvlText w:val="(%7)"/>
      <w:lvlJc w:val="left"/>
      <w:pPr>
        <w:tabs>
          <w:tab w:val="num" w:pos="4680"/>
        </w:tabs>
        <w:ind w:left="4680" w:hanging="360"/>
      </w:pPr>
    </w:lvl>
    <w:lvl w:ilvl="7" w:tplc="11462498" w:tentative="1">
      <w:start w:val="1"/>
      <w:numFmt w:val="decimal"/>
      <w:lvlText w:val="(%8)"/>
      <w:lvlJc w:val="left"/>
      <w:pPr>
        <w:tabs>
          <w:tab w:val="num" w:pos="5400"/>
        </w:tabs>
        <w:ind w:left="5400" w:hanging="360"/>
      </w:pPr>
    </w:lvl>
    <w:lvl w:ilvl="8" w:tplc="28523F72" w:tentative="1">
      <w:start w:val="1"/>
      <w:numFmt w:val="decimal"/>
      <w:lvlText w:val="(%9)"/>
      <w:lvlJc w:val="left"/>
      <w:pPr>
        <w:tabs>
          <w:tab w:val="num" w:pos="6120"/>
        </w:tabs>
        <w:ind w:left="6120" w:hanging="36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76"/>
    <w:rsid w:val="00004B84"/>
    <w:rsid w:val="000923E0"/>
    <w:rsid w:val="00155B65"/>
    <w:rsid w:val="001625E7"/>
    <w:rsid w:val="001B4EC1"/>
    <w:rsid w:val="002627D2"/>
    <w:rsid w:val="00264F39"/>
    <w:rsid w:val="00277A28"/>
    <w:rsid w:val="00433141"/>
    <w:rsid w:val="00507676"/>
    <w:rsid w:val="005A434C"/>
    <w:rsid w:val="00631BF8"/>
    <w:rsid w:val="00672F62"/>
    <w:rsid w:val="006A6AB6"/>
    <w:rsid w:val="007475CA"/>
    <w:rsid w:val="007F6ACC"/>
    <w:rsid w:val="00A644AE"/>
    <w:rsid w:val="00AF5358"/>
    <w:rsid w:val="00CC1B37"/>
    <w:rsid w:val="00DE3E27"/>
    <w:rsid w:val="00E617E0"/>
    <w:rsid w:val="00E73230"/>
    <w:rsid w:val="00F91C80"/>
    <w:rsid w:val="00FB4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767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433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141"/>
    <w:rPr>
      <w:rFonts w:ascii="Tahoma" w:hAnsi="Tahoma" w:cs="Tahoma"/>
      <w:sz w:val="16"/>
      <w:szCs w:val="16"/>
    </w:rPr>
  </w:style>
  <w:style w:type="table" w:styleId="Grilledutableau">
    <w:name w:val="Table Grid"/>
    <w:basedOn w:val="TableauNormal"/>
    <w:uiPriority w:val="59"/>
    <w:rsid w:val="0074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75CA"/>
    <w:pPr>
      <w:ind w:left="720"/>
      <w:contextualSpacing/>
    </w:pPr>
  </w:style>
  <w:style w:type="character" w:styleId="Lienhypertexte">
    <w:name w:val="Hyperlink"/>
    <w:basedOn w:val="Policepardfaut"/>
    <w:uiPriority w:val="99"/>
    <w:unhideWhenUsed/>
    <w:rsid w:val="00F91C80"/>
    <w:rPr>
      <w:color w:val="D2581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767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433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141"/>
    <w:rPr>
      <w:rFonts w:ascii="Tahoma" w:hAnsi="Tahoma" w:cs="Tahoma"/>
      <w:sz w:val="16"/>
      <w:szCs w:val="16"/>
    </w:rPr>
  </w:style>
  <w:style w:type="table" w:styleId="Grilledutableau">
    <w:name w:val="Table Grid"/>
    <w:basedOn w:val="TableauNormal"/>
    <w:uiPriority w:val="59"/>
    <w:rsid w:val="0074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75CA"/>
    <w:pPr>
      <w:ind w:left="720"/>
      <w:contextualSpacing/>
    </w:pPr>
  </w:style>
  <w:style w:type="character" w:styleId="Lienhypertexte">
    <w:name w:val="Hyperlink"/>
    <w:basedOn w:val="Policepardfaut"/>
    <w:uiPriority w:val="99"/>
    <w:unhideWhenUsed/>
    <w:rsid w:val="00F91C80"/>
    <w:rPr>
      <w:color w:val="D2581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176">
      <w:bodyDiv w:val="1"/>
      <w:marLeft w:val="0"/>
      <w:marRight w:val="0"/>
      <w:marTop w:val="0"/>
      <w:marBottom w:val="0"/>
      <w:divBdr>
        <w:top w:val="none" w:sz="0" w:space="0" w:color="auto"/>
        <w:left w:val="none" w:sz="0" w:space="0" w:color="auto"/>
        <w:bottom w:val="none" w:sz="0" w:space="0" w:color="auto"/>
        <w:right w:val="none" w:sz="0" w:space="0" w:color="auto"/>
      </w:divBdr>
    </w:div>
    <w:div w:id="105655981">
      <w:bodyDiv w:val="1"/>
      <w:marLeft w:val="0"/>
      <w:marRight w:val="0"/>
      <w:marTop w:val="0"/>
      <w:marBottom w:val="0"/>
      <w:divBdr>
        <w:top w:val="none" w:sz="0" w:space="0" w:color="auto"/>
        <w:left w:val="none" w:sz="0" w:space="0" w:color="auto"/>
        <w:bottom w:val="none" w:sz="0" w:space="0" w:color="auto"/>
        <w:right w:val="none" w:sz="0" w:space="0" w:color="auto"/>
      </w:divBdr>
    </w:div>
    <w:div w:id="151600936">
      <w:bodyDiv w:val="1"/>
      <w:marLeft w:val="0"/>
      <w:marRight w:val="0"/>
      <w:marTop w:val="0"/>
      <w:marBottom w:val="0"/>
      <w:divBdr>
        <w:top w:val="none" w:sz="0" w:space="0" w:color="auto"/>
        <w:left w:val="none" w:sz="0" w:space="0" w:color="auto"/>
        <w:bottom w:val="none" w:sz="0" w:space="0" w:color="auto"/>
        <w:right w:val="none" w:sz="0" w:space="0" w:color="auto"/>
      </w:divBdr>
    </w:div>
    <w:div w:id="268859325">
      <w:bodyDiv w:val="1"/>
      <w:marLeft w:val="0"/>
      <w:marRight w:val="0"/>
      <w:marTop w:val="0"/>
      <w:marBottom w:val="0"/>
      <w:divBdr>
        <w:top w:val="none" w:sz="0" w:space="0" w:color="auto"/>
        <w:left w:val="none" w:sz="0" w:space="0" w:color="auto"/>
        <w:bottom w:val="none" w:sz="0" w:space="0" w:color="auto"/>
        <w:right w:val="none" w:sz="0" w:space="0" w:color="auto"/>
      </w:divBdr>
    </w:div>
    <w:div w:id="330715244">
      <w:bodyDiv w:val="1"/>
      <w:marLeft w:val="0"/>
      <w:marRight w:val="0"/>
      <w:marTop w:val="0"/>
      <w:marBottom w:val="0"/>
      <w:divBdr>
        <w:top w:val="none" w:sz="0" w:space="0" w:color="auto"/>
        <w:left w:val="none" w:sz="0" w:space="0" w:color="auto"/>
        <w:bottom w:val="none" w:sz="0" w:space="0" w:color="auto"/>
        <w:right w:val="none" w:sz="0" w:space="0" w:color="auto"/>
      </w:divBdr>
    </w:div>
    <w:div w:id="450247188">
      <w:bodyDiv w:val="1"/>
      <w:marLeft w:val="0"/>
      <w:marRight w:val="0"/>
      <w:marTop w:val="0"/>
      <w:marBottom w:val="0"/>
      <w:divBdr>
        <w:top w:val="none" w:sz="0" w:space="0" w:color="auto"/>
        <w:left w:val="none" w:sz="0" w:space="0" w:color="auto"/>
        <w:bottom w:val="none" w:sz="0" w:space="0" w:color="auto"/>
        <w:right w:val="none" w:sz="0" w:space="0" w:color="auto"/>
      </w:divBdr>
    </w:div>
    <w:div w:id="571891569">
      <w:bodyDiv w:val="1"/>
      <w:marLeft w:val="0"/>
      <w:marRight w:val="0"/>
      <w:marTop w:val="0"/>
      <w:marBottom w:val="0"/>
      <w:divBdr>
        <w:top w:val="none" w:sz="0" w:space="0" w:color="auto"/>
        <w:left w:val="none" w:sz="0" w:space="0" w:color="auto"/>
        <w:bottom w:val="none" w:sz="0" w:space="0" w:color="auto"/>
        <w:right w:val="none" w:sz="0" w:space="0" w:color="auto"/>
      </w:divBdr>
    </w:div>
    <w:div w:id="604728351">
      <w:bodyDiv w:val="1"/>
      <w:marLeft w:val="0"/>
      <w:marRight w:val="0"/>
      <w:marTop w:val="0"/>
      <w:marBottom w:val="0"/>
      <w:divBdr>
        <w:top w:val="none" w:sz="0" w:space="0" w:color="auto"/>
        <w:left w:val="none" w:sz="0" w:space="0" w:color="auto"/>
        <w:bottom w:val="none" w:sz="0" w:space="0" w:color="auto"/>
        <w:right w:val="none" w:sz="0" w:space="0" w:color="auto"/>
      </w:divBdr>
    </w:div>
    <w:div w:id="739326049">
      <w:bodyDiv w:val="1"/>
      <w:marLeft w:val="0"/>
      <w:marRight w:val="0"/>
      <w:marTop w:val="0"/>
      <w:marBottom w:val="0"/>
      <w:divBdr>
        <w:top w:val="none" w:sz="0" w:space="0" w:color="auto"/>
        <w:left w:val="none" w:sz="0" w:space="0" w:color="auto"/>
        <w:bottom w:val="none" w:sz="0" w:space="0" w:color="auto"/>
        <w:right w:val="none" w:sz="0" w:space="0" w:color="auto"/>
      </w:divBdr>
    </w:div>
    <w:div w:id="782267796">
      <w:bodyDiv w:val="1"/>
      <w:marLeft w:val="0"/>
      <w:marRight w:val="0"/>
      <w:marTop w:val="0"/>
      <w:marBottom w:val="0"/>
      <w:divBdr>
        <w:top w:val="none" w:sz="0" w:space="0" w:color="auto"/>
        <w:left w:val="none" w:sz="0" w:space="0" w:color="auto"/>
        <w:bottom w:val="none" w:sz="0" w:space="0" w:color="auto"/>
        <w:right w:val="none" w:sz="0" w:space="0" w:color="auto"/>
      </w:divBdr>
    </w:div>
    <w:div w:id="1057706189">
      <w:bodyDiv w:val="1"/>
      <w:marLeft w:val="0"/>
      <w:marRight w:val="0"/>
      <w:marTop w:val="0"/>
      <w:marBottom w:val="0"/>
      <w:divBdr>
        <w:top w:val="none" w:sz="0" w:space="0" w:color="auto"/>
        <w:left w:val="none" w:sz="0" w:space="0" w:color="auto"/>
        <w:bottom w:val="none" w:sz="0" w:space="0" w:color="auto"/>
        <w:right w:val="none" w:sz="0" w:space="0" w:color="auto"/>
      </w:divBdr>
    </w:div>
    <w:div w:id="1243954572">
      <w:bodyDiv w:val="1"/>
      <w:marLeft w:val="0"/>
      <w:marRight w:val="0"/>
      <w:marTop w:val="0"/>
      <w:marBottom w:val="0"/>
      <w:divBdr>
        <w:top w:val="none" w:sz="0" w:space="0" w:color="auto"/>
        <w:left w:val="none" w:sz="0" w:space="0" w:color="auto"/>
        <w:bottom w:val="none" w:sz="0" w:space="0" w:color="auto"/>
        <w:right w:val="none" w:sz="0" w:space="0" w:color="auto"/>
      </w:divBdr>
    </w:div>
    <w:div w:id="1264221252">
      <w:bodyDiv w:val="1"/>
      <w:marLeft w:val="0"/>
      <w:marRight w:val="0"/>
      <w:marTop w:val="0"/>
      <w:marBottom w:val="0"/>
      <w:divBdr>
        <w:top w:val="none" w:sz="0" w:space="0" w:color="auto"/>
        <w:left w:val="none" w:sz="0" w:space="0" w:color="auto"/>
        <w:bottom w:val="none" w:sz="0" w:space="0" w:color="auto"/>
        <w:right w:val="none" w:sz="0" w:space="0" w:color="auto"/>
      </w:divBdr>
    </w:div>
    <w:div w:id="1405949354">
      <w:bodyDiv w:val="1"/>
      <w:marLeft w:val="0"/>
      <w:marRight w:val="0"/>
      <w:marTop w:val="0"/>
      <w:marBottom w:val="0"/>
      <w:divBdr>
        <w:top w:val="none" w:sz="0" w:space="0" w:color="auto"/>
        <w:left w:val="none" w:sz="0" w:space="0" w:color="auto"/>
        <w:bottom w:val="none" w:sz="0" w:space="0" w:color="auto"/>
        <w:right w:val="none" w:sz="0" w:space="0" w:color="auto"/>
      </w:divBdr>
      <w:divsChild>
        <w:div w:id="1053308820">
          <w:marLeft w:val="878"/>
          <w:marRight w:val="0"/>
          <w:marTop w:val="0"/>
          <w:marBottom w:val="0"/>
          <w:divBdr>
            <w:top w:val="none" w:sz="0" w:space="0" w:color="auto"/>
            <w:left w:val="none" w:sz="0" w:space="0" w:color="auto"/>
            <w:bottom w:val="none" w:sz="0" w:space="0" w:color="auto"/>
            <w:right w:val="none" w:sz="0" w:space="0" w:color="auto"/>
          </w:divBdr>
        </w:div>
      </w:divsChild>
    </w:div>
    <w:div w:id="1578127598">
      <w:bodyDiv w:val="1"/>
      <w:marLeft w:val="0"/>
      <w:marRight w:val="0"/>
      <w:marTop w:val="0"/>
      <w:marBottom w:val="0"/>
      <w:divBdr>
        <w:top w:val="none" w:sz="0" w:space="0" w:color="auto"/>
        <w:left w:val="none" w:sz="0" w:space="0" w:color="auto"/>
        <w:bottom w:val="none" w:sz="0" w:space="0" w:color="auto"/>
        <w:right w:val="none" w:sz="0" w:space="0" w:color="auto"/>
      </w:divBdr>
    </w:div>
    <w:div w:id="1633754291">
      <w:bodyDiv w:val="1"/>
      <w:marLeft w:val="0"/>
      <w:marRight w:val="0"/>
      <w:marTop w:val="0"/>
      <w:marBottom w:val="0"/>
      <w:divBdr>
        <w:top w:val="none" w:sz="0" w:space="0" w:color="auto"/>
        <w:left w:val="none" w:sz="0" w:space="0" w:color="auto"/>
        <w:bottom w:val="none" w:sz="0" w:space="0" w:color="auto"/>
        <w:right w:val="none" w:sz="0" w:space="0" w:color="auto"/>
      </w:divBdr>
    </w:div>
    <w:div w:id="1817063290">
      <w:bodyDiv w:val="1"/>
      <w:marLeft w:val="0"/>
      <w:marRight w:val="0"/>
      <w:marTop w:val="0"/>
      <w:marBottom w:val="0"/>
      <w:divBdr>
        <w:top w:val="none" w:sz="0" w:space="0" w:color="auto"/>
        <w:left w:val="none" w:sz="0" w:space="0" w:color="auto"/>
        <w:bottom w:val="none" w:sz="0" w:space="0" w:color="auto"/>
        <w:right w:val="none" w:sz="0" w:space="0" w:color="auto"/>
      </w:divBdr>
      <w:divsChild>
        <w:div w:id="2107386576">
          <w:marLeft w:val="360"/>
          <w:marRight w:val="0"/>
          <w:marTop w:val="0"/>
          <w:marBottom w:val="0"/>
          <w:divBdr>
            <w:top w:val="none" w:sz="0" w:space="0" w:color="auto"/>
            <w:left w:val="none" w:sz="0" w:space="0" w:color="auto"/>
            <w:bottom w:val="none" w:sz="0" w:space="0" w:color="auto"/>
            <w:right w:val="none" w:sz="0" w:space="0" w:color="auto"/>
          </w:divBdr>
        </w:div>
        <w:div w:id="831066375">
          <w:marLeft w:val="360"/>
          <w:marRight w:val="0"/>
          <w:marTop w:val="0"/>
          <w:marBottom w:val="0"/>
          <w:divBdr>
            <w:top w:val="none" w:sz="0" w:space="0" w:color="auto"/>
            <w:left w:val="none" w:sz="0" w:space="0" w:color="auto"/>
            <w:bottom w:val="none" w:sz="0" w:space="0" w:color="auto"/>
            <w:right w:val="none" w:sz="0" w:space="0" w:color="auto"/>
          </w:divBdr>
        </w:div>
        <w:div w:id="37384660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cb.fr/Vitrine/ObjCommun/Fic/CB/DCI/VotreCaisseRegionale/InformationReglementee/2018/POLITIQUE_DE_SELE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Contiguïté">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1374</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 Lucie</dc:creator>
  <cp:lastModifiedBy>EME Lucie</cp:lastModifiedBy>
  <cp:revision>14</cp:revision>
  <cp:lastPrinted>2019-04-25T05:56:00Z</cp:lastPrinted>
  <dcterms:created xsi:type="dcterms:W3CDTF">2019-04-16T11:28:00Z</dcterms:created>
  <dcterms:modified xsi:type="dcterms:W3CDTF">2019-04-25T07:29:00Z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-1757847749</vt:i4>
  </property>
  <property fmtid="{D5CDD505-2E9C-101B-9397-08002B2CF9AE}" pid="3" name="_NewReviewCycle">
    <vt:lpwstr/>
  </property>
  <property fmtid="{D5CDD505-2E9C-101B-9397-08002B2CF9AE}" pid="4" name="_EmailSubject">
    <vt:lpwstr>Publication RTS 28 avant le 30/04</vt:lpwstr>
  </property>
  <property fmtid="{D5CDD505-2E9C-101B-9397-08002B2CF9AE}" pid="5" name="_AuthorEmail">
    <vt:lpwstr>deontologie.conformite@ca-cb.fr</vt:lpwstr>
  </property>
  <property fmtid="{D5CDD505-2E9C-101B-9397-08002B2CF9AE}" pid="6" name="_AuthorEmailDisplayName">
    <vt:lpwstr>810BG DEONTOLOGIE-CONFORMITE</vt:lpwstr>
  </property>
</Properties>
</file>